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8F8E3" w14:textId="77777777" w:rsidR="00976F20" w:rsidRDefault="003E1F46">
      <w:pPr>
        <w:spacing w:after="0" w:line="240" w:lineRule="auto"/>
        <w:jc w:val="center"/>
        <w:rPr>
          <w:rFonts w:ascii="Times New Roman" w:hAnsi="Times New Roman" w:cs="Times New Roman"/>
          <w:b/>
          <w:sz w:val="24"/>
          <w:szCs w:val="24"/>
        </w:rPr>
      </w:pPr>
      <w:bookmarkStart w:id="0" w:name="_Hlk144989332"/>
      <w:r>
        <w:rPr>
          <w:rFonts w:ascii="Times New Roman" w:hAnsi="Times New Roman" w:cs="Times New Roman"/>
          <w:b/>
          <w:sz w:val="24"/>
          <w:szCs w:val="24"/>
        </w:rPr>
        <w:t>Advisory Opinion</w:t>
      </w:r>
    </w:p>
    <w:p w14:paraId="0DF3E263" w14:textId="77777777" w:rsidR="00E9426E" w:rsidRDefault="00E9426E">
      <w:pPr>
        <w:spacing w:after="0" w:line="240" w:lineRule="auto"/>
        <w:jc w:val="center"/>
        <w:rPr>
          <w:rFonts w:ascii="Times New Roman" w:hAnsi="Times New Roman" w:cs="Times New Roman"/>
          <w:b/>
          <w:sz w:val="24"/>
          <w:szCs w:val="24"/>
        </w:rPr>
      </w:pPr>
    </w:p>
    <w:p w14:paraId="39FBDA5C" w14:textId="309FBA65" w:rsidR="00E9426E" w:rsidRDefault="00E942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#24-0001</w:t>
      </w:r>
    </w:p>
    <w:p w14:paraId="5E208DE8" w14:textId="77777777" w:rsidR="001D3CA0" w:rsidRDefault="001D3CA0">
      <w:pPr>
        <w:spacing w:after="0" w:line="240" w:lineRule="auto"/>
        <w:jc w:val="center"/>
        <w:rPr>
          <w:rFonts w:ascii="Times New Roman" w:hAnsi="Times New Roman" w:cs="Times New Roman"/>
          <w:b/>
          <w:sz w:val="24"/>
          <w:szCs w:val="24"/>
        </w:rPr>
      </w:pPr>
    </w:p>
    <w:p w14:paraId="0EC0FF99" w14:textId="185F8812" w:rsidR="00976F20" w:rsidRDefault="003E1F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46215B">
        <w:rPr>
          <w:rFonts w:ascii="Times New Roman" w:hAnsi="Times New Roman" w:cs="Times New Roman"/>
          <w:b/>
          <w:sz w:val="24"/>
          <w:szCs w:val="24"/>
        </w:rPr>
        <w:t xml:space="preserve">February </w:t>
      </w:r>
      <w:r w:rsidR="004E6D22">
        <w:rPr>
          <w:rFonts w:ascii="Times New Roman" w:hAnsi="Times New Roman" w:cs="Times New Roman"/>
          <w:b/>
          <w:sz w:val="24"/>
          <w:szCs w:val="24"/>
        </w:rPr>
        <w:t>29</w:t>
      </w:r>
      <w:r>
        <w:rPr>
          <w:rFonts w:ascii="Times New Roman" w:hAnsi="Times New Roman" w:cs="Times New Roman"/>
          <w:b/>
          <w:sz w:val="24"/>
          <w:szCs w:val="24"/>
        </w:rPr>
        <w:t>, 202</w:t>
      </w:r>
      <w:r w:rsidR="0046215B">
        <w:rPr>
          <w:rFonts w:ascii="Times New Roman" w:hAnsi="Times New Roman" w:cs="Times New Roman"/>
          <w:b/>
          <w:sz w:val="24"/>
          <w:szCs w:val="24"/>
        </w:rPr>
        <w:t>4</w:t>
      </w:r>
      <w:r>
        <w:rPr>
          <w:rFonts w:ascii="Times New Roman" w:hAnsi="Times New Roman" w:cs="Times New Roman"/>
          <w:b/>
          <w:sz w:val="24"/>
          <w:szCs w:val="24"/>
        </w:rPr>
        <w:t>)</w:t>
      </w:r>
    </w:p>
    <w:p w14:paraId="1D1A4FF9" w14:textId="77777777" w:rsidR="00976F20" w:rsidRDefault="00976F20">
      <w:pPr>
        <w:spacing w:after="0" w:line="240" w:lineRule="auto"/>
        <w:jc w:val="center"/>
        <w:rPr>
          <w:rFonts w:ascii="Times New Roman" w:hAnsi="Times New Roman" w:cs="Times New Roman"/>
          <w:b/>
          <w:sz w:val="24"/>
          <w:szCs w:val="24"/>
        </w:rPr>
      </w:pPr>
    </w:p>
    <w:p w14:paraId="561BD2CB" w14:textId="7028B202" w:rsidR="009116AB" w:rsidRPr="00854EA8" w:rsidRDefault="003E1F46" w:rsidP="00B470AC">
      <w:pPr>
        <w:spacing w:after="0"/>
        <w:jc w:val="both"/>
        <w:rPr>
          <w:rFonts w:ascii="Times New Roman" w:hAnsi="Times New Roman" w:cs="Times New Roman"/>
          <w:sz w:val="24"/>
          <w:szCs w:val="24"/>
        </w:rPr>
      </w:pPr>
      <w:r w:rsidRPr="00854EA8">
        <w:rPr>
          <w:rFonts w:ascii="Times New Roman" w:hAnsi="Times New Roman" w:cs="Times New Roman"/>
          <w:sz w:val="24"/>
          <w:szCs w:val="24"/>
        </w:rPr>
        <w:t>The Baltimore City Board of Ethics (“Board”) received a request for an advisory</w:t>
      </w:r>
      <w:r w:rsidR="002E535E" w:rsidRPr="00854EA8">
        <w:rPr>
          <w:rFonts w:ascii="Times New Roman" w:hAnsi="Times New Roman" w:cs="Times New Roman"/>
          <w:sz w:val="24"/>
          <w:szCs w:val="24"/>
        </w:rPr>
        <w:t xml:space="preserve"> </w:t>
      </w:r>
      <w:r w:rsidRPr="00854EA8">
        <w:rPr>
          <w:rFonts w:ascii="Times New Roman" w:hAnsi="Times New Roman" w:cs="Times New Roman"/>
          <w:sz w:val="24"/>
          <w:szCs w:val="24"/>
        </w:rPr>
        <w:t xml:space="preserve">opinion regarding </w:t>
      </w:r>
      <w:r w:rsidR="00C74097" w:rsidRPr="00854EA8">
        <w:rPr>
          <w:rFonts w:ascii="Times New Roman" w:hAnsi="Times New Roman" w:cs="Times New Roman"/>
          <w:sz w:val="24"/>
          <w:szCs w:val="24"/>
        </w:rPr>
        <w:t xml:space="preserve">the applicability of the City's Ethics Law to campaign contributions made by </w:t>
      </w:r>
      <w:r w:rsidR="00046D7A" w:rsidRPr="00854EA8">
        <w:rPr>
          <w:rFonts w:ascii="Times New Roman" w:hAnsi="Times New Roman" w:cs="Times New Roman"/>
          <w:sz w:val="24"/>
          <w:szCs w:val="24"/>
        </w:rPr>
        <w:t>members of the Baltimore City Fair Election Fund Commission</w:t>
      </w:r>
      <w:r w:rsidR="002E535E" w:rsidRPr="00854EA8">
        <w:rPr>
          <w:rFonts w:ascii="Times New Roman" w:hAnsi="Times New Roman" w:cs="Times New Roman"/>
          <w:sz w:val="24"/>
          <w:szCs w:val="24"/>
        </w:rPr>
        <w:t xml:space="preserve"> in their private capacities</w:t>
      </w:r>
      <w:r w:rsidR="00C74097" w:rsidRPr="00854EA8">
        <w:rPr>
          <w:rFonts w:ascii="Times New Roman" w:hAnsi="Times New Roman" w:cs="Times New Roman"/>
          <w:sz w:val="24"/>
          <w:szCs w:val="24"/>
        </w:rPr>
        <w:t>. Specifically, the issue is whether the City's Ethics Law limits the ability of FEF Commission members as private individuals to donate to or volunteer for candidates</w:t>
      </w:r>
      <w:r w:rsidR="004E6D22" w:rsidRPr="00854EA8">
        <w:rPr>
          <w:rFonts w:ascii="Times New Roman" w:hAnsi="Times New Roman" w:cs="Times New Roman"/>
          <w:sz w:val="24"/>
          <w:szCs w:val="24"/>
        </w:rPr>
        <w:t>/campaigns</w:t>
      </w:r>
      <w:r w:rsidR="00C74097" w:rsidRPr="00854EA8">
        <w:rPr>
          <w:rFonts w:ascii="Times New Roman" w:hAnsi="Times New Roman" w:cs="Times New Roman"/>
          <w:sz w:val="24"/>
          <w:szCs w:val="24"/>
        </w:rPr>
        <w:t xml:space="preserve"> who may qualify for FEF funds.</w:t>
      </w:r>
    </w:p>
    <w:p w14:paraId="57036554" w14:textId="38532D92" w:rsidR="008C38B1" w:rsidRPr="00854EA8" w:rsidRDefault="008C38B1" w:rsidP="00F60BFD">
      <w:pPr>
        <w:spacing w:after="0"/>
        <w:jc w:val="both"/>
        <w:rPr>
          <w:rFonts w:ascii="Times New Roman" w:hAnsi="Times New Roman" w:cs="Times New Roman"/>
          <w:sz w:val="24"/>
          <w:szCs w:val="24"/>
        </w:rPr>
      </w:pPr>
    </w:p>
    <w:p w14:paraId="464F2927" w14:textId="5544AD91" w:rsidR="00D0121E" w:rsidRDefault="008C38B1" w:rsidP="008C38B1">
      <w:pPr>
        <w:spacing w:after="0"/>
        <w:jc w:val="both"/>
        <w:rPr>
          <w:rFonts w:ascii="Times New Roman" w:hAnsi="Times New Roman" w:cs="Times New Roman"/>
          <w:sz w:val="24"/>
          <w:szCs w:val="24"/>
        </w:rPr>
      </w:pPr>
      <w:r w:rsidRPr="00854EA8">
        <w:rPr>
          <w:rFonts w:ascii="Times New Roman" w:hAnsi="Times New Roman" w:cs="Times New Roman"/>
          <w:sz w:val="24"/>
          <w:szCs w:val="24"/>
        </w:rPr>
        <w:t xml:space="preserve">For the reasons </w:t>
      </w:r>
      <w:r w:rsidR="004E6D22" w:rsidRPr="00854EA8">
        <w:rPr>
          <w:rFonts w:ascii="Times New Roman" w:hAnsi="Times New Roman" w:cs="Times New Roman"/>
          <w:sz w:val="24"/>
          <w:szCs w:val="24"/>
        </w:rPr>
        <w:t>outlined below</w:t>
      </w:r>
      <w:r w:rsidRPr="00854EA8">
        <w:rPr>
          <w:rFonts w:ascii="Times New Roman" w:hAnsi="Times New Roman" w:cs="Times New Roman"/>
          <w:sz w:val="24"/>
          <w:szCs w:val="24"/>
        </w:rPr>
        <w:t>, the Board advise</w:t>
      </w:r>
      <w:r w:rsidR="00854EA8" w:rsidRPr="00993E80">
        <w:rPr>
          <w:rFonts w:ascii="Times New Roman" w:hAnsi="Times New Roman" w:cs="Times New Roman"/>
          <w:sz w:val="24"/>
          <w:szCs w:val="24"/>
        </w:rPr>
        <w:t>s</w:t>
      </w:r>
      <w:r w:rsidRPr="00854EA8">
        <w:rPr>
          <w:rFonts w:ascii="Times New Roman" w:hAnsi="Times New Roman" w:cs="Times New Roman"/>
          <w:sz w:val="24"/>
          <w:szCs w:val="24"/>
        </w:rPr>
        <w:t xml:space="preserve"> that</w:t>
      </w:r>
      <w:r w:rsidR="00372C39">
        <w:rPr>
          <w:rFonts w:ascii="Times New Roman" w:hAnsi="Times New Roman" w:cs="Times New Roman"/>
          <w:sz w:val="24"/>
          <w:szCs w:val="24"/>
        </w:rPr>
        <w:t>:</w:t>
      </w:r>
    </w:p>
    <w:p w14:paraId="07CE67D4" w14:textId="77777777" w:rsidR="00372C39" w:rsidRPr="00854EA8" w:rsidRDefault="00372C39" w:rsidP="008C38B1">
      <w:pPr>
        <w:spacing w:after="0"/>
        <w:jc w:val="both"/>
        <w:rPr>
          <w:rFonts w:ascii="Times New Roman" w:hAnsi="Times New Roman" w:cs="Times New Roman"/>
          <w:sz w:val="24"/>
          <w:szCs w:val="24"/>
        </w:rPr>
      </w:pPr>
    </w:p>
    <w:p w14:paraId="588132F9" w14:textId="6DBDA194" w:rsidR="00D0121E" w:rsidRPr="00854EA8" w:rsidRDefault="009E2BB4" w:rsidP="00D0121E">
      <w:pPr>
        <w:pStyle w:val="ListParagraph"/>
        <w:numPr>
          <w:ilvl w:val="0"/>
          <w:numId w:val="19"/>
        </w:numPr>
        <w:spacing w:after="0"/>
        <w:jc w:val="both"/>
        <w:rPr>
          <w:rFonts w:ascii="Times New Roman" w:hAnsi="Times New Roman" w:cs="Times New Roman"/>
          <w:sz w:val="24"/>
          <w:szCs w:val="24"/>
        </w:rPr>
      </w:pPr>
      <w:r w:rsidRPr="00854EA8">
        <w:rPr>
          <w:rFonts w:ascii="Times New Roman" w:hAnsi="Times New Roman" w:cs="Times New Roman"/>
          <w:sz w:val="24"/>
          <w:szCs w:val="24"/>
        </w:rPr>
        <w:t xml:space="preserve">members of the FEF Commission </w:t>
      </w:r>
      <w:r w:rsidR="009C7251" w:rsidRPr="00854EA8">
        <w:rPr>
          <w:rFonts w:ascii="Times New Roman" w:hAnsi="Times New Roman" w:cs="Times New Roman"/>
          <w:sz w:val="24"/>
          <w:szCs w:val="24"/>
        </w:rPr>
        <w:t>may make monetary and in-kind contributions</w:t>
      </w:r>
      <w:r w:rsidR="00A73B76" w:rsidRPr="00854EA8">
        <w:rPr>
          <w:rFonts w:ascii="Times New Roman" w:hAnsi="Times New Roman" w:cs="Times New Roman"/>
          <w:sz w:val="24"/>
          <w:szCs w:val="24"/>
        </w:rPr>
        <w:t xml:space="preserve"> </w:t>
      </w:r>
      <w:r w:rsidR="004E6D22" w:rsidRPr="00854EA8">
        <w:rPr>
          <w:rFonts w:ascii="Times New Roman" w:hAnsi="Times New Roman" w:cs="Times New Roman"/>
          <w:sz w:val="24"/>
          <w:szCs w:val="24"/>
        </w:rPr>
        <w:t>(</w:t>
      </w:r>
      <w:r w:rsidR="007043E0" w:rsidRPr="00854EA8">
        <w:rPr>
          <w:rFonts w:ascii="Times New Roman" w:hAnsi="Times New Roman" w:cs="Times New Roman"/>
          <w:sz w:val="24"/>
          <w:szCs w:val="24"/>
        </w:rPr>
        <w:t>“</w:t>
      </w:r>
      <w:r w:rsidR="00A73B76" w:rsidRPr="00854EA8">
        <w:rPr>
          <w:rFonts w:ascii="Times New Roman" w:hAnsi="Times New Roman" w:cs="Times New Roman"/>
          <w:sz w:val="24"/>
          <w:szCs w:val="24"/>
        </w:rPr>
        <w:t>independent expenditures</w:t>
      </w:r>
      <w:r w:rsidR="007043E0" w:rsidRPr="00854EA8">
        <w:rPr>
          <w:rFonts w:ascii="Times New Roman" w:hAnsi="Times New Roman" w:cs="Times New Roman"/>
          <w:sz w:val="24"/>
          <w:szCs w:val="24"/>
        </w:rPr>
        <w:t>”)</w:t>
      </w:r>
      <w:r w:rsidR="00854EA8" w:rsidRPr="00854EA8">
        <w:rPr>
          <w:rStyle w:val="FootnoteReference"/>
          <w:rFonts w:ascii="Times New Roman" w:hAnsi="Times New Roman" w:cs="Times New Roman"/>
          <w:sz w:val="24"/>
          <w:szCs w:val="24"/>
        </w:rPr>
        <w:footnoteReference w:id="1"/>
      </w:r>
      <w:r w:rsidR="009C7251" w:rsidRPr="00854EA8">
        <w:rPr>
          <w:rFonts w:ascii="Times New Roman" w:hAnsi="Times New Roman" w:cs="Times New Roman"/>
          <w:sz w:val="24"/>
          <w:szCs w:val="24"/>
        </w:rPr>
        <w:t xml:space="preserve"> to candidates and/or campaigns </w:t>
      </w:r>
      <w:r w:rsidR="007D5C25" w:rsidRPr="00854EA8">
        <w:rPr>
          <w:rFonts w:ascii="Times New Roman" w:hAnsi="Times New Roman" w:cs="Times New Roman"/>
          <w:sz w:val="24"/>
          <w:szCs w:val="24"/>
        </w:rPr>
        <w:t>receiving FEF funds</w:t>
      </w:r>
      <w:r w:rsidR="00A73B76" w:rsidRPr="00854EA8">
        <w:rPr>
          <w:rFonts w:ascii="Times New Roman" w:hAnsi="Times New Roman" w:cs="Times New Roman"/>
          <w:sz w:val="24"/>
          <w:szCs w:val="24"/>
        </w:rPr>
        <w:t>;</w:t>
      </w:r>
      <w:r w:rsidR="007D5C25" w:rsidRPr="00854EA8">
        <w:rPr>
          <w:rFonts w:ascii="Times New Roman" w:hAnsi="Times New Roman" w:cs="Times New Roman"/>
          <w:sz w:val="24"/>
          <w:szCs w:val="24"/>
        </w:rPr>
        <w:t xml:space="preserve"> however, </w:t>
      </w:r>
    </w:p>
    <w:p w14:paraId="6D88934E" w14:textId="48CCC367" w:rsidR="008C38B1" w:rsidRPr="00854EA8" w:rsidRDefault="007D5C25" w:rsidP="00D0121E">
      <w:pPr>
        <w:pStyle w:val="ListParagraph"/>
        <w:numPr>
          <w:ilvl w:val="0"/>
          <w:numId w:val="19"/>
        </w:numPr>
        <w:spacing w:after="0"/>
        <w:jc w:val="both"/>
        <w:rPr>
          <w:rFonts w:ascii="Times New Roman" w:hAnsi="Times New Roman" w:cs="Times New Roman"/>
          <w:sz w:val="24"/>
          <w:szCs w:val="24"/>
        </w:rPr>
      </w:pPr>
      <w:r w:rsidRPr="00854EA8">
        <w:rPr>
          <w:rFonts w:ascii="Times New Roman" w:hAnsi="Times New Roman" w:cs="Times New Roman"/>
          <w:sz w:val="24"/>
          <w:szCs w:val="24"/>
        </w:rPr>
        <w:t xml:space="preserve">compensated </w:t>
      </w:r>
      <w:r w:rsidR="00D03572" w:rsidRPr="00854EA8">
        <w:rPr>
          <w:rFonts w:ascii="Times New Roman" w:hAnsi="Times New Roman" w:cs="Times New Roman"/>
          <w:sz w:val="24"/>
          <w:szCs w:val="24"/>
        </w:rPr>
        <w:t xml:space="preserve">work </w:t>
      </w:r>
      <w:r w:rsidR="007B01E7" w:rsidRPr="00854EA8">
        <w:rPr>
          <w:rFonts w:ascii="Times New Roman" w:hAnsi="Times New Roman" w:cs="Times New Roman"/>
          <w:sz w:val="24"/>
          <w:szCs w:val="24"/>
        </w:rPr>
        <w:t xml:space="preserve">for or </w:t>
      </w:r>
      <w:r w:rsidR="00D03572" w:rsidRPr="00854EA8">
        <w:rPr>
          <w:rFonts w:ascii="Times New Roman" w:hAnsi="Times New Roman" w:cs="Times New Roman"/>
          <w:sz w:val="24"/>
          <w:szCs w:val="24"/>
        </w:rPr>
        <w:t xml:space="preserve">on behalf of a candidate or campaign </w:t>
      </w:r>
      <w:r w:rsidR="007B01E7" w:rsidRPr="00854EA8">
        <w:rPr>
          <w:rFonts w:ascii="Times New Roman" w:hAnsi="Times New Roman" w:cs="Times New Roman"/>
          <w:sz w:val="24"/>
          <w:szCs w:val="24"/>
        </w:rPr>
        <w:t xml:space="preserve">receiving FEF funds </w:t>
      </w:r>
      <w:r w:rsidR="00D0121E" w:rsidRPr="00854EA8">
        <w:rPr>
          <w:rFonts w:ascii="Times New Roman" w:hAnsi="Times New Roman" w:cs="Times New Roman"/>
          <w:sz w:val="24"/>
          <w:szCs w:val="24"/>
        </w:rPr>
        <w:t xml:space="preserve">creates </w:t>
      </w:r>
      <w:r w:rsidR="003D659C" w:rsidRPr="00854EA8">
        <w:rPr>
          <w:rFonts w:ascii="Times New Roman" w:hAnsi="Times New Roman" w:cs="Times New Roman"/>
          <w:sz w:val="24"/>
          <w:szCs w:val="24"/>
        </w:rPr>
        <w:t>an impermissible conflict of interest under</w:t>
      </w:r>
      <w:r w:rsidR="00A80502">
        <w:rPr>
          <w:rFonts w:ascii="Times New Roman" w:hAnsi="Times New Roman" w:cs="Times New Roman"/>
          <w:sz w:val="24"/>
          <w:szCs w:val="24"/>
        </w:rPr>
        <w:t xml:space="preserve"> City Code</w:t>
      </w:r>
      <w:r w:rsidR="003D659C" w:rsidRPr="00854EA8">
        <w:rPr>
          <w:rFonts w:ascii="Times New Roman" w:hAnsi="Times New Roman" w:cs="Times New Roman"/>
          <w:sz w:val="24"/>
          <w:szCs w:val="24"/>
        </w:rPr>
        <w:t xml:space="preserve"> Art. 8</w:t>
      </w:r>
      <w:r w:rsidR="00A80502">
        <w:rPr>
          <w:rFonts w:ascii="Times New Roman" w:hAnsi="Times New Roman" w:cs="Times New Roman"/>
          <w:sz w:val="24"/>
          <w:szCs w:val="24"/>
        </w:rPr>
        <w:t xml:space="preserve">, </w:t>
      </w:r>
      <w:r w:rsidR="00A80502" w:rsidRPr="00A80502">
        <w:rPr>
          <w:rFonts w:ascii="Times New Roman" w:hAnsi="Times New Roman" w:cs="Times New Roman"/>
          <w:sz w:val="24"/>
          <w:szCs w:val="24"/>
        </w:rPr>
        <w:t>§ 6-11</w:t>
      </w:r>
      <w:r w:rsidR="00A80502">
        <w:rPr>
          <w:rFonts w:ascii="Times New Roman" w:hAnsi="Times New Roman" w:cs="Times New Roman"/>
          <w:sz w:val="24"/>
          <w:szCs w:val="24"/>
        </w:rPr>
        <w:t>.</w:t>
      </w:r>
    </w:p>
    <w:p w14:paraId="6A07FCA6" w14:textId="77777777" w:rsidR="008C38B1" w:rsidRPr="00854EA8" w:rsidRDefault="008C38B1" w:rsidP="00F60BFD">
      <w:pPr>
        <w:spacing w:after="0"/>
        <w:jc w:val="both"/>
        <w:rPr>
          <w:rFonts w:ascii="Times New Roman" w:hAnsi="Times New Roman" w:cs="Times New Roman"/>
          <w:sz w:val="24"/>
          <w:szCs w:val="24"/>
        </w:rPr>
      </w:pPr>
    </w:p>
    <w:p w14:paraId="342E6C59" w14:textId="40EB17D4" w:rsidR="00E074D2" w:rsidRPr="009A0179" w:rsidRDefault="0052103A" w:rsidP="009A0179">
      <w:pPr>
        <w:pStyle w:val="ListParagraph"/>
        <w:numPr>
          <w:ilvl w:val="0"/>
          <w:numId w:val="21"/>
        </w:numPr>
        <w:spacing w:after="0"/>
        <w:ind w:left="0" w:firstLine="0"/>
        <w:jc w:val="center"/>
        <w:rPr>
          <w:rFonts w:ascii="Times New Roman" w:hAnsi="Times New Roman" w:cs="Times New Roman"/>
          <w:b/>
          <w:bCs/>
          <w:sz w:val="24"/>
          <w:szCs w:val="24"/>
          <w:u w:val="single"/>
        </w:rPr>
      </w:pPr>
      <w:r w:rsidRPr="009A0179">
        <w:rPr>
          <w:rFonts w:ascii="Times New Roman" w:hAnsi="Times New Roman" w:cs="Times New Roman"/>
          <w:b/>
          <w:bCs/>
          <w:sz w:val="24"/>
          <w:szCs w:val="24"/>
          <w:u w:val="single"/>
        </w:rPr>
        <w:t>B</w:t>
      </w:r>
      <w:r w:rsidR="00A72996" w:rsidRPr="009A0179">
        <w:rPr>
          <w:rFonts w:ascii="Times New Roman" w:hAnsi="Times New Roman" w:cs="Times New Roman"/>
          <w:b/>
          <w:bCs/>
          <w:sz w:val="24"/>
          <w:szCs w:val="24"/>
          <w:u w:val="single"/>
        </w:rPr>
        <w:t>ACKGROUND</w:t>
      </w:r>
    </w:p>
    <w:p w14:paraId="73FF67BF" w14:textId="77777777" w:rsidR="00E074D2" w:rsidRPr="00854EA8" w:rsidRDefault="00E074D2" w:rsidP="00E074D2">
      <w:pPr>
        <w:spacing w:after="0"/>
        <w:jc w:val="both"/>
        <w:rPr>
          <w:rFonts w:ascii="Times New Roman" w:hAnsi="Times New Roman" w:cs="Times New Roman"/>
          <w:b/>
          <w:sz w:val="24"/>
          <w:szCs w:val="24"/>
          <w:u w:val="single"/>
        </w:rPr>
      </w:pPr>
    </w:p>
    <w:p w14:paraId="3C6C46DF" w14:textId="7D85EE48" w:rsidR="005D5E7C" w:rsidRPr="009A0179" w:rsidRDefault="005D5E7C" w:rsidP="005D5E7C">
      <w:pPr>
        <w:jc w:val="both"/>
        <w:rPr>
          <w:rFonts w:ascii="Times New Roman" w:hAnsi="Times New Roman" w:cs="Times New Roman"/>
          <w:sz w:val="24"/>
          <w:szCs w:val="24"/>
        </w:rPr>
      </w:pPr>
      <w:r w:rsidRPr="009A0179">
        <w:rPr>
          <w:rFonts w:ascii="Times New Roman" w:hAnsi="Times New Roman" w:cs="Times New Roman"/>
          <w:sz w:val="24"/>
          <w:szCs w:val="24"/>
        </w:rPr>
        <w:t>Pursuant to Maryland Election Law § 13-505, any county in the State may elect to establish a system of public campaign financing for elective offices in the executive and legislative branches of the local government. Any program established under this provision must be administered by the Chief Financial Officer of the local government (in Baltimore City, the Director of Finance) and is subject to regulation and oversight by the Maryland State Board of Elections.</w:t>
      </w:r>
    </w:p>
    <w:p w14:paraId="20E7AE35" w14:textId="3C28156E" w:rsidR="005D5E7C" w:rsidRPr="009A0179" w:rsidRDefault="005D5E7C" w:rsidP="005D5E7C">
      <w:pPr>
        <w:jc w:val="both"/>
        <w:rPr>
          <w:rFonts w:ascii="Times New Roman" w:hAnsi="Times New Roman" w:cs="Times New Roman"/>
          <w:sz w:val="24"/>
          <w:szCs w:val="24"/>
        </w:rPr>
      </w:pPr>
      <w:r w:rsidRPr="009A0179">
        <w:rPr>
          <w:rFonts w:ascii="Times New Roman" w:hAnsi="Times New Roman" w:cs="Times New Roman"/>
          <w:sz w:val="24"/>
          <w:szCs w:val="24"/>
        </w:rPr>
        <w:lastRenderedPageBreak/>
        <w:t xml:space="preserve">The State defers the determination of certain candidate eligibility criteria to the municipality, as well as the formulation of local criteria concerning campaign financing, contributions, expenditures, local government reporting, and campaign material related to the program that may be </w:t>
      </w:r>
      <w:proofErr w:type="gramStart"/>
      <w:r w:rsidRPr="009A0179">
        <w:rPr>
          <w:rFonts w:ascii="Times New Roman" w:hAnsi="Times New Roman" w:cs="Times New Roman"/>
          <w:sz w:val="24"/>
          <w:szCs w:val="24"/>
        </w:rPr>
        <w:t>more strict</w:t>
      </w:r>
      <w:proofErr w:type="gramEnd"/>
      <w:r w:rsidRPr="009A0179">
        <w:rPr>
          <w:rFonts w:ascii="Times New Roman" w:hAnsi="Times New Roman" w:cs="Times New Roman"/>
          <w:sz w:val="24"/>
          <w:szCs w:val="24"/>
        </w:rPr>
        <w:t xml:space="preserve"> than those of the State.</w:t>
      </w:r>
      <w:r w:rsidR="00B50AB7" w:rsidRPr="009A0179">
        <w:rPr>
          <w:rFonts w:ascii="Times New Roman" w:hAnsi="Times New Roman" w:cs="Times New Roman"/>
          <w:sz w:val="24"/>
          <w:szCs w:val="24"/>
        </w:rPr>
        <w:t xml:space="preserve"> Only candidates for qualifying local elective office are eligible to apply for and receive funds.</w:t>
      </w:r>
    </w:p>
    <w:p w14:paraId="6CEEFA7C" w14:textId="7E89AE4C" w:rsidR="00E71FDF" w:rsidRPr="009A0179" w:rsidRDefault="00E71FDF" w:rsidP="00E71FDF">
      <w:pPr>
        <w:jc w:val="both"/>
        <w:rPr>
          <w:rFonts w:ascii="Times New Roman" w:hAnsi="Times New Roman" w:cs="Times New Roman"/>
          <w:sz w:val="24"/>
          <w:szCs w:val="24"/>
        </w:rPr>
      </w:pPr>
      <w:r w:rsidRPr="009A0179">
        <w:rPr>
          <w:rFonts w:ascii="Times New Roman" w:hAnsi="Times New Roman" w:cs="Times New Roman"/>
          <w:sz w:val="24"/>
          <w:szCs w:val="24"/>
        </w:rPr>
        <w:t xml:space="preserve">The </w:t>
      </w:r>
      <w:r w:rsidR="003237C2" w:rsidRPr="009A0179">
        <w:rPr>
          <w:rFonts w:ascii="Times New Roman" w:hAnsi="Times New Roman" w:cs="Times New Roman"/>
          <w:sz w:val="24"/>
          <w:szCs w:val="24"/>
        </w:rPr>
        <w:t xml:space="preserve">City established the </w:t>
      </w:r>
      <w:r w:rsidRPr="009A0179">
        <w:rPr>
          <w:rFonts w:ascii="Times New Roman" w:hAnsi="Times New Roman" w:cs="Times New Roman"/>
          <w:sz w:val="24"/>
          <w:szCs w:val="24"/>
        </w:rPr>
        <w:t xml:space="preserve">Fair Election Fund (“FEF”) </w:t>
      </w:r>
      <w:r w:rsidR="003237C2" w:rsidRPr="009A0179">
        <w:rPr>
          <w:rFonts w:ascii="Times New Roman" w:hAnsi="Times New Roman" w:cs="Times New Roman"/>
          <w:sz w:val="24"/>
          <w:szCs w:val="24"/>
        </w:rPr>
        <w:t xml:space="preserve">under this State enabling law to </w:t>
      </w:r>
      <w:r w:rsidRPr="009A0179">
        <w:rPr>
          <w:rFonts w:ascii="Times New Roman" w:hAnsi="Times New Roman" w:cs="Times New Roman"/>
          <w:sz w:val="24"/>
          <w:szCs w:val="24"/>
        </w:rPr>
        <w:t>provide matching City funds to eligible candidates for City elective office. It is governed by State and City</w:t>
      </w:r>
      <w:r w:rsidR="00C779BB">
        <w:rPr>
          <w:rFonts w:ascii="Times New Roman" w:hAnsi="Times New Roman" w:cs="Times New Roman"/>
          <w:sz w:val="24"/>
          <w:szCs w:val="24"/>
        </w:rPr>
        <w:t xml:space="preserve"> law.</w:t>
      </w:r>
      <w:r w:rsidR="001542A2">
        <w:rPr>
          <w:rFonts w:ascii="Times New Roman" w:hAnsi="Times New Roman" w:cs="Times New Roman"/>
          <w:sz w:val="24"/>
          <w:szCs w:val="24"/>
        </w:rPr>
        <w:t xml:space="preserve"> </w:t>
      </w:r>
      <w:r w:rsidRPr="009A0179">
        <w:rPr>
          <w:rFonts w:ascii="Times New Roman" w:hAnsi="Times New Roman" w:cs="Times New Roman"/>
          <w:sz w:val="24"/>
          <w:szCs w:val="24"/>
        </w:rPr>
        <w:t xml:space="preserve">To participate in the FEF, a candidate must be a </w:t>
      </w:r>
      <w:proofErr w:type="gramStart"/>
      <w:r w:rsidRPr="009A0179">
        <w:rPr>
          <w:rFonts w:ascii="Times New Roman" w:hAnsi="Times New Roman" w:cs="Times New Roman"/>
          <w:sz w:val="24"/>
          <w:szCs w:val="24"/>
        </w:rPr>
        <w:t>City</w:t>
      </w:r>
      <w:proofErr w:type="gramEnd"/>
      <w:r w:rsidRPr="009A0179">
        <w:rPr>
          <w:rFonts w:ascii="Times New Roman" w:hAnsi="Times New Roman" w:cs="Times New Roman"/>
          <w:sz w:val="24"/>
          <w:szCs w:val="24"/>
        </w:rPr>
        <w:t xml:space="preserve"> resident who is running for Mayor, Comptroller, City Council President, or City Council in a contested primary and/or general election and must be certified for public funding by the State Board of Elections. Eligibility depends, </w:t>
      </w:r>
      <w:r w:rsidRPr="009A0179">
        <w:rPr>
          <w:rFonts w:ascii="Times New Roman" w:hAnsi="Times New Roman" w:cs="Times New Roman"/>
          <w:i/>
          <w:iCs/>
          <w:sz w:val="24"/>
          <w:szCs w:val="24"/>
        </w:rPr>
        <w:t>inter alia</w:t>
      </w:r>
      <w:r w:rsidRPr="009A0179">
        <w:rPr>
          <w:rFonts w:ascii="Times New Roman" w:hAnsi="Times New Roman" w:cs="Times New Roman"/>
          <w:sz w:val="24"/>
          <w:szCs w:val="24"/>
        </w:rPr>
        <w:t>, on receiving a minimum number of qualifying contributions (up to $150) from City residents.</w:t>
      </w:r>
    </w:p>
    <w:p w14:paraId="0BA7AD82" w14:textId="7C017EF8" w:rsidR="003D4B9A" w:rsidRPr="00854EA8" w:rsidRDefault="003D4B9A" w:rsidP="009A0179">
      <w:pPr>
        <w:pStyle w:val="ListParagraph"/>
        <w:numPr>
          <w:ilvl w:val="0"/>
          <w:numId w:val="22"/>
        </w:numPr>
        <w:spacing w:line="256" w:lineRule="auto"/>
        <w:ind w:hanging="1080"/>
        <w:jc w:val="both"/>
        <w:rPr>
          <w:rFonts w:ascii="Times New Roman" w:hAnsi="Times New Roman" w:cs="Times New Roman"/>
          <w:b/>
          <w:bCs/>
          <w:sz w:val="24"/>
          <w:szCs w:val="24"/>
          <w:u w:val="single"/>
        </w:rPr>
      </w:pPr>
      <w:r w:rsidRPr="00854EA8">
        <w:rPr>
          <w:rFonts w:ascii="Times New Roman" w:hAnsi="Times New Roman" w:cs="Times New Roman"/>
          <w:b/>
          <w:bCs/>
          <w:sz w:val="24"/>
          <w:szCs w:val="24"/>
          <w:u w:val="single"/>
        </w:rPr>
        <w:t>The City’s FEF Commission</w:t>
      </w:r>
    </w:p>
    <w:p w14:paraId="3C636081" w14:textId="62FBF5B9" w:rsidR="00077332" w:rsidRPr="009A0179" w:rsidRDefault="00077332" w:rsidP="00077332">
      <w:pPr>
        <w:jc w:val="both"/>
        <w:rPr>
          <w:rFonts w:ascii="Times New Roman" w:hAnsi="Times New Roman" w:cs="Times New Roman"/>
          <w:sz w:val="24"/>
          <w:szCs w:val="24"/>
        </w:rPr>
      </w:pPr>
      <w:r w:rsidRPr="009A0179">
        <w:rPr>
          <w:rFonts w:ascii="Times New Roman" w:hAnsi="Times New Roman" w:cs="Times New Roman"/>
          <w:sz w:val="24"/>
          <w:szCs w:val="24"/>
        </w:rPr>
        <w:t>State law vests the City’s Director of Finance with the ultimate authority for the administration of the Fund. City law also</w:t>
      </w:r>
      <w:r w:rsidR="00035534">
        <w:rPr>
          <w:rFonts w:ascii="Times New Roman" w:hAnsi="Times New Roman" w:cs="Times New Roman"/>
          <w:sz w:val="24"/>
          <w:szCs w:val="24"/>
        </w:rPr>
        <w:t xml:space="preserve"> </w:t>
      </w:r>
      <w:r w:rsidR="000126C0" w:rsidRPr="009A0179">
        <w:rPr>
          <w:rFonts w:ascii="Times New Roman" w:hAnsi="Times New Roman" w:cs="Times New Roman"/>
          <w:sz w:val="24"/>
          <w:szCs w:val="24"/>
        </w:rPr>
        <w:t xml:space="preserve">establishes </w:t>
      </w:r>
      <w:r w:rsidRPr="009A0179">
        <w:rPr>
          <w:rFonts w:ascii="Times New Roman" w:hAnsi="Times New Roman" w:cs="Times New Roman"/>
          <w:sz w:val="24"/>
          <w:szCs w:val="24"/>
        </w:rPr>
        <w:t xml:space="preserve">a City Fair Election Fund Commission (“Commission”). </w:t>
      </w:r>
      <w:r w:rsidRPr="009A0179">
        <w:rPr>
          <w:rFonts w:ascii="Times New Roman" w:hAnsi="Times New Roman" w:cs="Times New Roman"/>
          <w:i/>
          <w:iCs/>
          <w:sz w:val="24"/>
          <w:szCs w:val="24"/>
        </w:rPr>
        <w:t>See</w:t>
      </w:r>
      <w:r w:rsidRPr="009A0179">
        <w:rPr>
          <w:rFonts w:ascii="Times New Roman" w:hAnsi="Times New Roman" w:cs="Times New Roman"/>
          <w:sz w:val="24"/>
          <w:szCs w:val="24"/>
        </w:rPr>
        <w:t xml:space="preserve"> Baltimore City Charter</w:t>
      </w:r>
      <w:r w:rsidR="00621C6B">
        <w:rPr>
          <w:rStyle w:val="FootnoteReference"/>
          <w:rFonts w:ascii="Times New Roman" w:hAnsi="Times New Roman" w:cs="Times New Roman"/>
          <w:sz w:val="24"/>
          <w:szCs w:val="24"/>
        </w:rPr>
        <w:footnoteReference w:id="2"/>
      </w:r>
      <w:r w:rsidRPr="009A0179">
        <w:rPr>
          <w:rFonts w:ascii="Times New Roman" w:hAnsi="Times New Roman" w:cs="Times New Roman"/>
          <w:sz w:val="24"/>
          <w:szCs w:val="24"/>
        </w:rPr>
        <w:t>, Article I, § 15 (b) and City Code, Article 5</w:t>
      </w:r>
      <w:r w:rsidR="00614B85">
        <w:rPr>
          <w:rStyle w:val="FootnoteReference"/>
          <w:rFonts w:ascii="Times New Roman" w:hAnsi="Times New Roman" w:cs="Times New Roman"/>
          <w:sz w:val="24"/>
          <w:szCs w:val="24"/>
        </w:rPr>
        <w:footnoteReference w:id="3"/>
      </w:r>
      <w:r w:rsidRPr="009A0179">
        <w:rPr>
          <w:rFonts w:ascii="Times New Roman" w:hAnsi="Times New Roman" w:cs="Times New Roman"/>
          <w:sz w:val="24"/>
          <w:szCs w:val="24"/>
        </w:rPr>
        <w:t>, §</w:t>
      </w:r>
      <w:r w:rsidR="00B50AB7" w:rsidRPr="009A0179">
        <w:rPr>
          <w:rFonts w:ascii="Times New Roman" w:hAnsi="Times New Roman" w:cs="Times New Roman"/>
          <w:sz w:val="24"/>
          <w:szCs w:val="24"/>
        </w:rPr>
        <w:t xml:space="preserve"> </w:t>
      </w:r>
      <w:r w:rsidRPr="009A0179">
        <w:rPr>
          <w:rFonts w:ascii="Times New Roman" w:hAnsi="Times New Roman" w:cs="Times New Roman"/>
          <w:sz w:val="24"/>
          <w:szCs w:val="24"/>
        </w:rPr>
        <w:t>11</w:t>
      </w:r>
      <w:r w:rsidR="003C7283">
        <w:rPr>
          <w:rFonts w:ascii="Times New Roman" w:hAnsi="Times New Roman" w:cs="Times New Roman"/>
          <w:sz w:val="24"/>
          <w:szCs w:val="24"/>
        </w:rPr>
        <w:t>-7</w:t>
      </w:r>
      <w:r w:rsidRPr="009A0179">
        <w:rPr>
          <w:rFonts w:ascii="Times New Roman" w:hAnsi="Times New Roman" w:cs="Times New Roman"/>
          <w:sz w:val="24"/>
          <w:szCs w:val="24"/>
        </w:rPr>
        <w:t>.</w:t>
      </w:r>
    </w:p>
    <w:p w14:paraId="4B7A0722" w14:textId="770EB623" w:rsidR="00077332" w:rsidRPr="009A0179" w:rsidRDefault="00035534" w:rsidP="00077332">
      <w:pPr>
        <w:jc w:val="both"/>
        <w:rPr>
          <w:rFonts w:ascii="Times New Roman" w:hAnsi="Times New Roman" w:cs="Times New Roman"/>
          <w:sz w:val="24"/>
          <w:szCs w:val="24"/>
        </w:rPr>
      </w:pPr>
      <w:r>
        <w:rPr>
          <w:rFonts w:ascii="Times New Roman" w:hAnsi="Times New Roman" w:cs="Times New Roman"/>
          <w:sz w:val="24"/>
          <w:szCs w:val="24"/>
        </w:rPr>
        <w:t xml:space="preserve">Baltimore City Code </w:t>
      </w:r>
      <w:r w:rsidR="00077332" w:rsidRPr="009A0179">
        <w:rPr>
          <w:rFonts w:ascii="Times New Roman" w:hAnsi="Times New Roman" w:cs="Times New Roman"/>
          <w:sz w:val="24"/>
          <w:szCs w:val="24"/>
        </w:rPr>
        <w:t>Art. 5, § 11-8 (a) {Fund administration; Commission duties} vests the City’s Director of Finance (“Director”) with the following:</w:t>
      </w:r>
    </w:p>
    <w:p w14:paraId="23708E20" w14:textId="77777777" w:rsidR="00077332" w:rsidRPr="009A0179" w:rsidRDefault="00077332" w:rsidP="00B50AB7">
      <w:pPr>
        <w:spacing w:after="0"/>
        <w:ind w:left="1080" w:right="720" w:hanging="360"/>
        <w:jc w:val="both"/>
        <w:rPr>
          <w:rFonts w:ascii="Times New Roman" w:hAnsi="Times New Roman" w:cs="Times New Roman"/>
          <w:sz w:val="24"/>
          <w:szCs w:val="24"/>
        </w:rPr>
      </w:pPr>
      <w:r w:rsidRPr="009A0179">
        <w:rPr>
          <w:rFonts w:ascii="Times New Roman" w:hAnsi="Times New Roman" w:cs="Times New Roman"/>
          <w:sz w:val="24"/>
          <w:szCs w:val="24"/>
        </w:rPr>
        <w:t>(1) The Director, in consultation with the Commission, must administer the Fund and ensure that the funds are dispersed [</w:t>
      </w:r>
      <w:r w:rsidRPr="009A0179">
        <w:rPr>
          <w:rFonts w:ascii="Times New Roman" w:hAnsi="Times New Roman" w:cs="Times New Roman"/>
          <w:i/>
          <w:iCs/>
          <w:sz w:val="24"/>
          <w:szCs w:val="24"/>
        </w:rPr>
        <w:t>sic</w:t>
      </w:r>
      <w:r w:rsidRPr="009A0179">
        <w:rPr>
          <w:rFonts w:ascii="Times New Roman" w:hAnsi="Times New Roman" w:cs="Times New Roman"/>
          <w:sz w:val="24"/>
          <w:szCs w:val="24"/>
        </w:rPr>
        <w:t>] in an equitable basis.</w:t>
      </w:r>
    </w:p>
    <w:p w14:paraId="3009353F" w14:textId="77777777" w:rsidR="00077332" w:rsidRPr="009A0179" w:rsidRDefault="00077332" w:rsidP="00B50AB7">
      <w:pPr>
        <w:spacing w:after="0"/>
        <w:ind w:left="1080" w:right="720" w:hanging="360"/>
        <w:jc w:val="both"/>
        <w:rPr>
          <w:rFonts w:ascii="Times New Roman" w:hAnsi="Times New Roman" w:cs="Times New Roman"/>
          <w:sz w:val="24"/>
          <w:szCs w:val="24"/>
        </w:rPr>
      </w:pPr>
      <w:r w:rsidRPr="009A0179">
        <w:rPr>
          <w:rFonts w:ascii="Times New Roman" w:hAnsi="Times New Roman" w:cs="Times New Roman"/>
          <w:sz w:val="24"/>
          <w:szCs w:val="24"/>
        </w:rPr>
        <w:t>(2) The Director may not disperse [</w:t>
      </w:r>
      <w:r w:rsidRPr="009A0179">
        <w:rPr>
          <w:rFonts w:ascii="Times New Roman" w:hAnsi="Times New Roman" w:cs="Times New Roman"/>
          <w:i/>
          <w:iCs/>
          <w:sz w:val="24"/>
          <w:szCs w:val="24"/>
        </w:rPr>
        <w:t>sic</w:t>
      </w:r>
      <w:r w:rsidRPr="009A0179">
        <w:rPr>
          <w:rFonts w:ascii="Times New Roman" w:hAnsi="Times New Roman" w:cs="Times New Roman"/>
          <w:sz w:val="24"/>
          <w:szCs w:val="24"/>
        </w:rPr>
        <w:t>] any funds from the Fund without prior Commission consultation.</w:t>
      </w:r>
    </w:p>
    <w:p w14:paraId="6C4C80A2" w14:textId="77777777" w:rsidR="00077332" w:rsidRPr="009A0179" w:rsidRDefault="00077332" w:rsidP="00077332">
      <w:pPr>
        <w:spacing w:after="0"/>
        <w:ind w:left="360"/>
        <w:jc w:val="both"/>
        <w:rPr>
          <w:rFonts w:ascii="Times New Roman" w:hAnsi="Times New Roman" w:cs="Times New Roman"/>
          <w:sz w:val="24"/>
          <w:szCs w:val="24"/>
        </w:rPr>
      </w:pPr>
    </w:p>
    <w:p w14:paraId="4DEFC362" w14:textId="01B2220D" w:rsidR="00077332" w:rsidRPr="009A0179" w:rsidRDefault="00077332" w:rsidP="00077332">
      <w:pPr>
        <w:jc w:val="both"/>
        <w:rPr>
          <w:rFonts w:ascii="Times New Roman" w:hAnsi="Times New Roman" w:cs="Times New Roman"/>
          <w:sz w:val="24"/>
          <w:szCs w:val="24"/>
        </w:rPr>
      </w:pPr>
      <w:r w:rsidRPr="009A0179">
        <w:rPr>
          <w:rFonts w:ascii="Times New Roman" w:hAnsi="Times New Roman" w:cs="Times New Roman"/>
          <w:sz w:val="24"/>
          <w:szCs w:val="24"/>
        </w:rPr>
        <w:t>The Commission consists of 11 members</w:t>
      </w:r>
      <w:r w:rsidR="000218D3" w:rsidRPr="009A0179">
        <w:rPr>
          <w:rFonts w:ascii="Times New Roman" w:hAnsi="Times New Roman" w:cs="Times New Roman"/>
          <w:sz w:val="24"/>
          <w:szCs w:val="24"/>
        </w:rPr>
        <w:t xml:space="preserve"> (herein, “Commissioners”)</w:t>
      </w:r>
      <w:r w:rsidRPr="009A0179">
        <w:rPr>
          <w:rFonts w:ascii="Times New Roman" w:hAnsi="Times New Roman" w:cs="Times New Roman"/>
          <w:sz w:val="24"/>
          <w:szCs w:val="24"/>
        </w:rPr>
        <w:t xml:space="preserve">, including: six members appointed by the </w:t>
      </w:r>
      <w:proofErr w:type="gramStart"/>
      <w:r w:rsidRPr="009A0179">
        <w:rPr>
          <w:rFonts w:ascii="Times New Roman" w:hAnsi="Times New Roman" w:cs="Times New Roman"/>
          <w:sz w:val="24"/>
          <w:szCs w:val="24"/>
        </w:rPr>
        <w:t>Mayor</w:t>
      </w:r>
      <w:proofErr w:type="gramEnd"/>
      <w:r w:rsidRPr="009A0179">
        <w:rPr>
          <w:rFonts w:ascii="Times New Roman" w:hAnsi="Times New Roman" w:cs="Times New Roman"/>
          <w:sz w:val="24"/>
          <w:szCs w:val="24"/>
        </w:rPr>
        <w:t xml:space="preserve">, three of whom must represent organizations focused on government reform and one of whom must represent an organization advocating for the interests of City business owners; and five members appointed by the President of the City Council. </w:t>
      </w:r>
    </w:p>
    <w:p w14:paraId="02275C40" w14:textId="24FCF4B6" w:rsidR="00077332" w:rsidRPr="009A0179" w:rsidRDefault="00077332" w:rsidP="00077332">
      <w:pPr>
        <w:jc w:val="both"/>
        <w:rPr>
          <w:rFonts w:ascii="Times New Roman" w:hAnsi="Times New Roman" w:cs="Times New Roman"/>
          <w:sz w:val="24"/>
          <w:szCs w:val="24"/>
        </w:rPr>
      </w:pPr>
      <w:r w:rsidRPr="009A0179">
        <w:rPr>
          <w:rFonts w:ascii="Times New Roman" w:hAnsi="Times New Roman" w:cs="Times New Roman"/>
          <w:sz w:val="24"/>
          <w:szCs w:val="24"/>
        </w:rPr>
        <w:t xml:space="preserve">Each Commissioner must be a </w:t>
      </w:r>
      <w:proofErr w:type="gramStart"/>
      <w:r w:rsidRPr="009A0179">
        <w:rPr>
          <w:rFonts w:ascii="Times New Roman" w:hAnsi="Times New Roman" w:cs="Times New Roman"/>
          <w:sz w:val="24"/>
          <w:szCs w:val="24"/>
        </w:rPr>
        <w:t>City</w:t>
      </w:r>
      <w:proofErr w:type="gramEnd"/>
      <w:r w:rsidRPr="009A0179">
        <w:rPr>
          <w:rFonts w:ascii="Times New Roman" w:hAnsi="Times New Roman" w:cs="Times New Roman"/>
          <w:sz w:val="24"/>
          <w:szCs w:val="24"/>
        </w:rPr>
        <w:t xml:space="preserve"> resident, be a registered voter, and be confirmed by the City Council. A Commissioner may not be a candidate for public office; not be a lobbyist required to register with the </w:t>
      </w:r>
      <w:proofErr w:type="gramStart"/>
      <w:r w:rsidRPr="009A0179">
        <w:rPr>
          <w:rFonts w:ascii="Times New Roman" w:hAnsi="Times New Roman" w:cs="Times New Roman"/>
          <w:sz w:val="24"/>
          <w:szCs w:val="24"/>
        </w:rPr>
        <w:t>City</w:t>
      </w:r>
      <w:proofErr w:type="gramEnd"/>
      <w:r w:rsidRPr="009A0179">
        <w:rPr>
          <w:rFonts w:ascii="Times New Roman" w:hAnsi="Times New Roman" w:cs="Times New Roman"/>
          <w:sz w:val="24"/>
          <w:szCs w:val="24"/>
        </w:rPr>
        <w:t xml:space="preserve">; </w:t>
      </w:r>
      <w:r w:rsidR="00A039CC" w:rsidRPr="009A0179">
        <w:rPr>
          <w:rFonts w:ascii="Times New Roman" w:hAnsi="Times New Roman" w:cs="Times New Roman"/>
          <w:sz w:val="24"/>
          <w:szCs w:val="24"/>
        </w:rPr>
        <w:t xml:space="preserve">and </w:t>
      </w:r>
      <w:r w:rsidRPr="009A0179">
        <w:rPr>
          <w:rFonts w:ascii="Times New Roman" w:hAnsi="Times New Roman" w:cs="Times New Roman"/>
          <w:sz w:val="24"/>
          <w:szCs w:val="24"/>
        </w:rPr>
        <w:t>not be the chair or treasurer for an open campaign account.</w:t>
      </w:r>
    </w:p>
    <w:p w14:paraId="22DA88B9" w14:textId="14AEF7A4" w:rsidR="00077332" w:rsidRPr="009A0179" w:rsidRDefault="00077332" w:rsidP="00077332">
      <w:pPr>
        <w:jc w:val="both"/>
        <w:rPr>
          <w:rFonts w:ascii="Times New Roman" w:hAnsi="Times New Roman" w:cs="Times New Roman"/>
          <w:sz w:val="24"/>
          <w:szCs w:val="24"/>
        </w:rPr>
      </w:pPr>
      <w:r w:rsidRPr="009A0179">
        <w:rPr>
          <w:rFonts w:ascii="Times New Roman" w:hAnsi="Times New Roman" w:cs="Times New Roman"/>
          <w:sz w:val="24"/>
          <w:szCs w:val="24"/>
        </w:rPr>
        <w:t xml:space="preserve">The Commission’s responsibilities, under Art. 5, § 11-8 (c) include meeting “at least once every 90 days during the 12 months preceding a primary election; and … at least twice a year </w:t>
      </w:r>
      <w:r w:rsidRPr="009A0179">
        <w:rPr>
          <w:rFonts w:ascii="Times New Roman" w:hAnsi="Times New Roman" w:cs="Times New Roman"/>
          <w:sz w:val="24"/>
          <w:szCs w:val="24"/>
        </w:rPr>
        <w:lastRenderedPageBreak/>
        <w:t>otherwise.”</w:t>
      </w:r>
      <w:r w:rsidR="00EC074A">
        <w:rPr>
          <w:rFonts w:ascii="Times New Roman" w:hAnsi="Times New Roman" w:cs="Times New Roman"/>
          <w:sz w:val="24"/>
          <w:szCs w:val="24"/>
        </w:rPr>
        <w:t xml:space="preserve"> </w:t>
      </w:r>
      <w:r w:rsidRPr="009A0179">
        <w:rPr>
          <w:rFonts w:ascii="Times New Roman" w:hAnsi="Times New Roman" w:cs="Times New Roman"/>
          <w:sz w:val="24"/>
          <w:szCs w:val="24"/>
        </w:rPr>
        <w:t xml:space="preserve">Subsection (b) summarizes other duties of the commission, which </w:t>
      </w:r>
      <w:r w:rsidR="00A039CC" w:rsidRPr="009A0179">
        <w:rPr>
          <w:rFonts w:ascii="Times New Roman" w:hAnsi="Times New Roman" w:cs="Times New Roman"/>
          <w:sz w:val="24"/>
          <w:szCs w:val="24"/>
        </w:rPr>
        <w:t>include issuing</w:t>
      </w:r>
      <w:r w:rsidRPr="009A0179">
        <w:rPr>
          <w:rFonts w:ascii="Times New Roman" w:hAnsi="Times New Roman" w:cs="Times New Roman"/>
          <w:sz w:val="24"/>
          <w:szCs w:val="24"/>
        </w:rPr>
        <w:t xml:space="preserve"> an annual report to the Mayor and City Council before Jan. 1, containing:</w:t>
      </w:r>
    </w:p>
    <w:p w14:paraId="34BBF175" w14:textId="77777777" w:rsidR="00077332" w:rsidRPr="009A0179" w:rsidRDefault="00077332" w:rsidP="00B50AB7">
      <w:pPr>
        <w:spacing w:after="0"/>
        <w:ind w:left="1080" w:right="720" w:hanging="360"/>
        <w:jc w:val="both"/>
        <w:rPr>
          <w:rFonts w:ascii="Times New Roman" w:hAnsi="Times New Roman" w:cs="Times New Roman"/>
          <w:sz w:val="24"/>
          <w:szCs w:val="24"/>
        </w:rPr>
      </w:pPr>
      <w:r w:rsidRPr="009A0179">
        <w:rPr>
          <w:rFonts w:ascii="Times New Roman" w:hAnsi="Times New Roman" w:cs="Times New Roman"/>
          <w:sz w:val="24"/>
          <w:szCs w:val="24"/>
        </w:rPr>
        <w:t xml:space="preserve">(1) an estimate of the funds necessary to implement the public campaign finance system for the following fiscal </w:t>
      </w:r>
      <w:proofErr w:type="gramStart"/>
      <w:r w:rsidRPr="009A0179">
        <w:rPr>
          <w:rFonts w:ascii="Times New Roman" w:hAnsi="Times New Roman" w:cs="Times New Roman"/>
          <w:sz w:val="24"/>
          <w:szCs w:val="24"/>
        </w:rPr>
        <w:t>year;</w:t>
      </w:r>
      <w:proofErr w:type="gramEnd"/>
    </w:p>
    <w:p w14:paraId="292ADD96" w14:textId="77777777" w:rsidR="00077332" w:rsidRPr="009A0179" w:rsidRDefault="00077332" w:rsidP="00B50AB7">
      <w:pPr>
        <w:spacing w:after="0"/>
        <w:ind w:left="1080" w:right="720" w:hanging="360"/>
        <w:jc w:val="both"/>
        <w:rPr>
          <w:rFonts w:ascii="Times New Roman" w:hAnsi="Times New Roman" w:cs="Times New Roman"/>
          <w:sz w:val="24"/>
          <w:szCs w:val="24"/>
        </w:rPr>
      </w:pPr>
      <w:r w:rsidRPr="009A0179">
        <w:rPr>
          <w:rFonts w:ascii="Times New Roman" w:hAnsi="Times New Roman" w:cs="Times New Roman"/>
          <w:sz w:val="24"/>
          <w:szCs w:val="24"/>
        </w:rPr>
        <w:t>(2) a recommendation for an appropriation to the Fund for the following fiscal year; and</w:t>
      </w:r>
    </w:p>
    <w:p w14:paraId="6C83934A" w14:textId="77777777" w:rsidR="00077332" w:rsidRPr="009A0179" w:rsidRDefault="00077332" w:rsidP="00B50AB7">
      <w:pPr>
        <w:spacing w:after="0"/>
        <w:ind w:left="1080" w:right="720" w:hanging="360"/>
        <w:jc w:val="both"/>
        <w:rPr>
          <w:rFonts w:ascii="Times New Roman" w:hAnsi="Times New Roman" w:cs="Times New Roman"/>
          <w:sz w:val="24"/>
          <w:szCs w:val="24"/>
        </w:rPr>
      </w:pPr>
      <w:r w:rsidRPr="009A0179">
        <w:rPr>
          <w:rFonts w:ascii="Times New Roman" w:hAnsi="Times New Roman" w:cs="Times New Roman"/>
          <w:sz w:val="24"/>
          <w:szCs w:val="24"/>
        </w:rPr>
        <w:t xml:space="preserve">(3) if necessary, any recommendations for dedicated sources of funding. </w:t>
      </w:r>
    </w:p>
    <w:p w14:paraId="0EB668E2" w14:textId="77777777" w:rsidR="00077332" w:rsidRDefault="00077332" w:rsidP="00077332">
      <w:pPr>
        <w:jc w:val="both"/>
        <w:rPr>
          <w:rFonts w:ascii="Times New Roman" w:hAnsi="Times New Roman" w:cs="Times New Roman"/>
        </w:rPr>
      </w:pPr>
    </w:p>
    <w:p w14:paraId="06E26844" w14:textId="77777777" w:rsidR="00077332" w:rsidRPr="009A0179" w:rsidRDefault="00077332" w:rsidP="00077332">
      <w:pPr>
        <w:jc w:val="both"/>
        <w:rPr>
          <w:rFonts w:ascii="Times New Roman" w:hAnsi="Times New Roman" w:cs="Times New Roman"/>
          <w:sz w:val="24"/>
          <w:szCs w:val="24"/>
        </w:rPr>
      </w:pPr>
      <w:r w:rsidRPr="009A0179">
        <w:rPr>
          <w:rFonts w:ascii="Times New Roman" w:hAnsi="Times New Roman" w:cs="Times New Roman"/>
          <w:sz w:val="24"/>
          <w:szCs w:val="24"/>
        </w:rPr>
        <w:t xml:space="preserve">Art. 5, § 11-9 {Rules and regulations} further states that  </w:t>
      </w:r>
    </w:p>
    <w:p w14:paraId="36C6BB17" w14:textId="77777777" w:rsidR="00077332" w:rsidRPr="009A0179" w:rsidRDefault="00077332" w:rsidP="00077332">
      <w:pPr>
        <w:ind w:left="360" w:right="360"/>
        <w:jc w:val="both"/>
        <w:rPr>
          <w:rFonts w:ascii="Times New Roman" w:hAnsi="Times New Roman" w:cs="Times New Roman"/>
          <w:sz w:val="24"/>
          <w:szCs w:val="24"/>
        </w:rPr>
      </w:pPr>
      <w:r w:rsidRPr="009A0179">
        <w:rPr>
          <w:rFonts w:ascii="Times New Roman" w:hAnsi="Times New Roman" w:cs="Times New Roman"/>
          <w:sz w:val="24"/>
          <w:szCs w:val="24"/>
        </w:rPr>
        <w:t>Subject to Title 4 {“Administrative Procedure Act – Regulations”} of the City General Provisions Article, the Director, in consultation with the Commission, must adopt rules and regulations to carry out the provisions of this subtitle, including specifying:</w:t>
      </w:r>
    </w:p>
    <w:p w14:paraId="010438A7" w14:textId="77777777" w:rsidR="00077332" w:rsidRPr="009A0179" w:rsidRDefault="00077332" w:rsidP="00B50AB7">
      <w:pPr>
        <w:spacing w:after="0"/>
        <w:ind w:left="1080" w:right="360" w:hanging="360"/>
        <w:jc w:val="both"/>
        <w:rPr>
          <w:rFonts w:ascii="Times New Roman" w:hAnsi="Times New Roman" w:cs="Times New Roman"/>
          <w:sz w:val="24"/>
          <w:szCs w:val="24"/>
        </w:rPr>
      </w:pPr>
      <w:r w:rsidRPr="009A0179">
        <w:rPr>
          <w:rFonts w:ascii="Times New Roman" w:hAnsi="Times New Roman" w:cs="Times New Roman"/>
          <w:sz w:val="24"/>
          <w:szCs w:val="24"/>
        </w:rPr>
        <w:t xml:space="preserve">(1) how and when receipts for qualifying contributions from contributors must be submitted to the State </w:t>
      </w:r>
      <w:proofErr w:type="gramStart"/>
      <w:r w:rsidRPr="009A0179">
        <w:rPr>
          <w:rFonts w:ascii="Times New Roman" w:hAnsi="Times New Roman" w:cs="Times New Roman"/>
          <w:sz w:val="24"/>
          <w:szCs w:val="24"/>
        </w:rPr>
        <w:t>Board;</w:t>
      </w:r>
      <w:proofErr w:type="gramEnd"/>
    </w:p>
    <w:p w14:paraId="19FE033C" w14:textId="77777777" w:rsidR="00077332" w:rsidRPr="009A0179" w:rsidRDefault="00077332" w:rsidP="00B50AB7">
      <w:pPr>
        <w:spacing w:after="0"/>
        <w:ind w:left="1080" w:right="360" w:hanging="360"/>
        <w:jc w:val="both"/>
        <w:rPr>
          <w:rFonts w:ascii="Times New Roman" w:hAnsi="Times New Roman" w:cs="Times New Roman"/>
          <w:sz w:val="24"/>
          <w:szCs w:val="24"/>
        </w:rPr>
      </w:pPr>
      <w:r w:rsidRPr="009A0179">
        <w:rPr>
          <w:rFonts w:ascii="Times New Roman" w:hAnsi="Times New Roman" w:cs="Times New Roman"/>
          <w:sz w:val="24"/>
          <w:szCs w:val="24"/>
        </w:rPr>
        <w:t xml:space="preserve">(2) the documents that must be filed with the State Board for </w:t>
      </w:r>
      <w:proofErr w:type="gramStart"/>
      <w:r w:rsidRPr="009A0179">
        <w:rPr>
          <w:rFonts w:ascii="Times New Roman" w:hAnsi="Times New Roman" w:cs="Times New Roman"/>
          <w:sz w:val="24"/>
          <w:szCs w:val="24"/>
        </w:rPr>
        <w:t>certification;</w:t>
      </w:r>
      <w:proofErr w:type="gramEnd"/>
    </w:p>
    <w:p w14:paraId="40CEE0DA" w14:textId="77777777" w:rsidR="00077332" w:rsidRPr="009A0179" w:rsidRDefault="00077332" w:rsidP="00B50AB7">
      <w:pPr>
        <w:spacing w:after="0"/>
        <w:ind w:left="1080" w:right="360" w:hanging="360"/>
        <w:jc w:val="both"/>
        <w:rPr>
          <w:rFonts w:ascii="Times New Roman" w:hAnsi="Times New Roman" w:cs="Times New Roman"/>
          <w:sz w:val="24"/>
          <w:szCs w:val="24"/>
        </w:rPr>
      </w:pPr>
      <w:r w:rsidRPr="009A0179">
        <w:rPr>
          <w:rFonts w:ascii="Times New Roman" w:hAnsi="Times New Roman" w:cs="Times New Roman"/>
          <w:sz w:val="24"/>
          <w:szCs w:val="24"/>
        </w:rPr>
        <w:t xml:space="preserve">(3) when disbursements from the Fund are made to a participating candidate and the amounts </w:t>
      </w:r>
      <w:proofErr w:type="gramStart"/>
      <w:r w:rsidRPr="009A0179">
        <w:rPr>
          <w:rFonts w:ascii="Times New Roman" w:hAnsi="Times New Roman" w:cs="Times New Roman"/>
          <w:sz w:val="24"/>
          <w:szCs w:val="24"/>
        </w:rPr>
        <w:t>disbursed;</w:t>
      </w:r>
      <w:proofErr w:type="gramEnd"/>
      <w:r w:rsidRPr="009A0179">
        <w:rPr>
          <w:rFonts w:ascii="Times New Roman" w:hAnsi="Times New Roman" w:cs="Times New Roman"/>
          <w:sz w:val="24"/>
          <w:szCs w:val="24"/>
        </w:rPr>
        <w:t xml:space="preserve"> </w:t>
      </w:r>
    </w:p>
    <w:p w14:paraId="5B94D82F" w14:textId="77777777" w:rsidR="00077332" w:rsidRPr="009A0179" w:rsidRDefault="00077332" w:rsidP="00B50AB7">
      <w:pPr>
        <w:spacing w:after="0"/>
        <w:ind w:left="1080" w:right="360" w:hanging="360"/>
        <w:jc w:val="both"/>
        <w:rPr>
          <w:rFonts w:ascii="Times New Roman" w:hAnsi="Times New Roman" w:cs="Times New Roman"/>
          <w:sz w:val="24"/>
          <w:szCs w:val="24"/>
        </w:rPr>
      </w:pPr>
      <w:r w:rsidRPr="009A0179">
        <w:rPr>
          <w:rFonts w:ascii="Times New Roman" w:hAnsi="Times New Roman" w:cs="Times New Roman"/>
          <w:sz w:val="24"/>
          <w:szCs w:val="24"/>
        </w:rPr>
        <w:t>(4) procedures for handling impermissible uses of public contributions; and</w:t>
      </w:r>
    </w:p>
    <w:p w14:paraId="78366215" w14:textId="77777777" w:rsidR="00077332" w:rsidRPr="009A0179" w:rsidRDefault="00077332" w:rsidP="00B50AB7">
      <w:pPr>
        <w:spacing w:after="0"/>
        <w:ind w:left="1080" w:right="360" w:hanging="360"/>
        <w:jc w:val="both"/>
        <w:rPr>
          <w:rFonts w:ascii="Times New Roman" w:hAnsi="Times New Roman" w:cs="Times New Roman"/>
          <w:sz w:val="24"/>
          <w:szCs w:val="24"/>
        </w:rPr>
      </w:pPr>
      <w:r w:rsidRPr="009A0179">
        <w:rPr>
          <w:rFonts w:ascii="Times New Roman" w:hAnsi="Times New Roman" w:cs="Times New Roman"/>
          <w:sz w:val="24"/>
          <w:szCs w:val="24"/>
        </w:rPr>
        <w:t>(5) other policies necessary to implement this subtitle.</w:t>
      </w:r>
    </w:p>
    <w:p w14:paraId="578EBE1A" w14:textId="77777777" w:rsidR="00CF451A" w:rsidRPr="009A0179" w:rsidRDefault="00CF451A" w:rsidP="00077332">
      <w:pPr>
        <w:spacing w:after="0"/>
        <w:ind w:left="720" w:right="360"/>
        <w:jc w:val="both"/>
        <w:rPr>
          <w:rFonts w:ascii="Times New Roman" w:hAnsi="Times New Roman" w:cs="Times New Roman"/>
          <w:sz w:val="24"/>
          <w:szCs w:val="24"/>
        </w:rPr>
      </w:pPr>
    </w:p>
    <w:p w14:paraId="7DCFA161" w14:textId="1D9056FB" w:rsidR="00651E1D" w:rsidRPr="009A0179" w:rsidRDefault="00651E1D" w:rsidP="009A0179">
      <w:pPr>
        <w:pStyle w:val="ListParagraph"/>
        <w:numPr>
          <w:ilvl w:val="0"/>
          <w:numId w:val="22"/>
        </w:numPr>
        <w:ind w:hanging="1080"/>
        <w:jc w:val="both"/>
        <w:rPr>
          <w:rFonts w:ascii="Times New Roman" w:hAnsi="Times New Roman" w:cs="Times New Roman"/>
          <w:b/>
          <w:bCs/>
          <w:sz w:val="24"/>
          <w:szCs w:val="24"/>
        </w:rPr>
      </w:pPr>
      <w:r w:rsidRPr="009A0179">
        <w:rPr>
          <w:rFonts w:ascii="Times New Roman" w:hAnsi="Times New Roman" w:cs="Times New Roman"/>
          <w:b/>
          <w:bCs/>
          <w:sz w:val="24"/>
          <w:szCs w:val="24"/>
          <w:u w:val="single"/>
        </w:rPr>
        <w:t>The Commission’s duties and responsibilities</w:t>
      </w:r>
    </w:p>
    <w:p w14:paraId="216F09D1" w14:textId="27187FA4" w:rsidR="00651E1D" w:rsidRPr="009A0179" w:rsidRDefault="00651E1D" w:rsidP="00651E1D">
      <w:pPr>
        <w:jc w:val="both"/>
        <w:rPr>
          <w:rFonts w:ascii="Times New Roman" w:hAnsi="Times New Roman" w:cs="Times New Roman"/>
          <w:sz w:val="24"/>
          <w:szCs w:val="24"/>
        </w:rPr>
      </w:pPr>
      <w:r w:rsidRPr="009A0179">
        <w:rPr>
          <w:rFonts w:ascii="Times New Roman" w:hAnsi="Times New Roman" w:cs="Times New Roman"/>
          <w:sz w:val="24"/>
          <w:szCs w:val="24"/>
        </w:rPr>
        <w:t>In brief, the Director of Finance must consult with the Commission regarding the administration of the Fund before any funds are disbursed, on establishing processes</w:t>
      </w:r>
      <w:r w:rsidR="00247B5A" w:rsidRPr="009A0179">
        <w:rPr>
          <w:rFonts w:ascii="Times New Roman" w:hAnsi="Times New Roman" w:cs="Times New Roman"/>
          <w:sz w:val="24"/>
          <w:szCs w:val="24"/>
        </w:rPr>
        <w:t xml:space="preserve"> and policies, and outlining potential</w:t>
      </w:r>
      <w:r w:rsidR="007D4214">
        <w:rPr>
          <w:rFonts w:ascii="Times New Roman" w:hAnsi="Times New Roman" w:cs="Times New Roman"/>
          <w:sz w:val="24"/>
          <w:szCs w:val="24"/>
        </w:rPr>
        <w:t xml:space="preserve"> </w:t>
      </w:r>
      <w:r w:rsidR="00247B5A" w:rsidRPr="009A0179">
        <w:rPr>
          <w:rFonts w:ascii="Times New Roman" w:hAnsi="Times New Roman" w:cs="Times New Roman"/>
          <w:sz w:val="24"/>
          <w:szCs w:val="24"/>
        </w:rPr>
        <w:t>legislative changes. Section 11-11 make</w:t>
      </w:r>
      <w:r w:rsidR="00444F3C">
        <w:rPr>
          <w:rFonts w:ascii="Times New Roman" w:hAnsi="Times New Roman" w:cs="Times New Roman"/>
          <w:sz w:val="24"/>
          <w:szCs w:val="24"/>
        </w:rPr>
        <w:t>s</w:t>
      </w:r>
      <w:r w:rsidR="00247B5A" w:rsidRPr="009A0179">
        <w:rPr>
          <w:rFonts w:ascii="Times New Roman" w:hAnsi="Times New Roman" w:cs="Times New Roman"/>
          <w:sz w:val="24"/>
          <w:szCs w:val="24"/>
        </w:rPr>
        <w:t xml:space="preserve"> </w:t>
      </w:r>
      <w:r w:rsidRPr="009A0179">
        <w:rPr>
          <w:rFonts w:ascii="Times New Roman" w:hAnsi="Times New Roman" w:cs="Times New Roman"/>
          <w:sz w:val="24"/>
          <w:szCs w:val="24"/>
        </w:rPr>
        <w:t xml:space="preserve">outreach, </w:t>
      </w:r>
      <w:r w:rsidR="00247B5A" w:rsidRPr="009A0179">
        <w:rPr>
          <w:rFonts w:ascii="Times New Roman" w:hAnsi="Times New Roman" w:cs="Times New Roman"/>
          <w:sz w:val="24"/>
          <w:szCs w:val="24"/>
        </w:rPr>
        <w:t xml:space="preserve">education, </w:t>
      </w:r>
      <w:r w:rsidRPr="009A0179">
        <w:rPr>
          <w:rFonts w:ascii="Times New Roman" w:hAnsi="Times New Roman" w:cs="Times New Roman"/>
          <w:sz w:val="24"/>
          <w:szCs w:val="24"/>
        </w:rPr>
        <w:t xml:space="preserve">training, </w:t>
      </w:r>
      <w:r w:rsidR="00247B5A" w:rsidRPr="009A0179">
        <w:rPr>
          <w:rFonts w:ascii="Times New Roman" w:hAnsi="Times New Roman" w:cs="Times New Roman"/>
          <w:sz w:val="24"/>
          <w:szCs w:val="24"/>
        </w:rPr>
        <w:t xml:space="preserve">etc. the sole responsibility of the Commission. </w:t>
      </w:r>
      <w:r w:rsidRPr="009A0179">
        <w:rPr>
          <w:rFonts w:ascii="Times New Roman" w:hAnsi="Times New Roman" w:cs="Times New Roman"/>
          <w:sz w:val="24"/>
          <w:szCs w:val="24"/>
        </w:rPr>
        <w:t>On or before January 1st of each year, the Commission must issue a report to the Mayor and City Council containing an estimate of the funds necessary to implement the public campaign finance system for the following fiscal year; recommend an appropriation to the fund for the following fiscal year; and make recommendations for dedicated sources for funding (if necessary).</w:t>
      </w:r>
    </w:p>
    <w:p w14:paraId="3BD848E7" w14:textId="77777777" w:rsidR="00651E1D" w:rsidRPr="009A0179" w:rsidRDefault="00651E1D" w:rsidP="00651E1D">
      <w:pPr>
        <w:jc w:val="both"/>
        <w:rPr>
          <w:rFonts w:ascii="Times New Roman" w:hAnsi="Times New Roman" w:cs="Times New Roman"/>
          <w:sz w:val="24"/>
          <w:szCs w:val="24"/>
        </w:rPr>
      </w:pPr>
      <w:r w:rsidRPr="009A0179">
        <w:rPr>
          <w:rFonts w:ascii="Times New Roman" w:hAnsi="Times New Roman" w:cs="Times New Roman"/>
          <w:sz w:val="24"/>
          <w:szCs w:val="24"/>
        </w:rPr>
        <w:t>The Commission itself does not determine which qualifying candidates will receive specific amounts of public funding. Indeed, it is the State Board that must determine the amount of a public contribution that each qualifying candidate is to receive, based on the amount reflected in the receipts as presented to the Board and the formula for the respective City elective office.</w:t>
      </w:r>
    </w:p>
    <w:p w14:paraId="7371A5AC" w14:textId="77777777" w:rsidR="00651E1D" w:rsidRPr="009A0179" w:rsidRDefault="00651E1D" w:rsidP="00651E1D">
      <w:pPr>
        <w:jc w:val="both"/>
        <w:rPr>
          <w:rFonts w:ascii="Times New Roman" w:hAnsi="Times New Roman" w:cs="Times New Roman"/>
          <w:sz w:val="24"/>
          <w:szCs w:val="24"/>
        </w:rPr>
      </w:pPr>
      <w:r w:rsidRPr="009A0179">
        <w:rPr>
          <w:rFonts w:ascii="Times New Roman" w:hAnsi="Times New Roman" w:cs="Times New Roman"/>
          <w:sz w:val="24"/>
          <w:szCs w:val="24"/>
        </w:rPr>
        <w:t xml:space="preserve">After a review of the submission by the State Board, the Director of Finance for Baltimore City is then notified to deposit the authorized matching publicly funded campaign contribution into the certified candidate’s publicly funded campaign account. The Director must promptly deposit the funds, after consultation with the Commission. </w:t>
      </w:r>
    </w:p>
    <w:p w14:paraId="59E64E76" w14:textId="16D4D0F2" w:rsidR="00E074D2" w:rsidRDefault="0052103A" w:rsidP="009A0179">
      <w:pPr>
        <w:pStyle w:val="ListParagraph"/>
        <w:numPr>
          <w:ilvl w:val="0"/>
          <w:numId w:val="21"/>
        </w:numPr>
        <w:spacing w:after="0"/>
        <w:ind w:left="0" w:firstLine="0"/>
        <w:jc w:val="center"/>
        <w:rPr>
          <w:rFonts w:ascii="Times New Roman" w:hAnsi="Times New Roman" w:cs="Times New Roman"/>
          <w:b/>
          <w:sz w:val="24"/>
          <w:szCs w:val="24"/>
          <w:u w:val="single"/>
        </w:rPr>
      </w:pPr>
      <w:r w:rsidRPr="007D4214">
        <w:rPr>
          <w:rFonts w:ascii="Times New Roman" w:hAnsi="Times New Roman" w:cs="Times New Roman"/>
          <w:b/>
          <w:sz w:val="24"/>
          <w:szCs w:val="24"/>
          <w:u w:val="single"/>
        </w:rPr>
        <w:lastRenderedPageBreak/>
        <w:t>A</w:t>
      </w:r>
      <w:r w:rsidR="00A72996" w:rsidRPr="007D4214">
        <w:rPr>
          <w:rFonts w:ascii="Times New Roman" w:hAnsi="Times New Roman" w:cs="Times New Roman"/>
          <w:b/>
          <w:sz w:val="24"/>
          <w:szCs w:val="24"/>
          <w:u w:val="single"/>
        </w:rPr>
        <w:t>NALYSIS</w:t>
      </w:r>
    </w:p>
    <w:p w14:paraId="3C2D0413" w14:textId="77777777" w:rsidR="00EC074A" w:rsidRPr="007D4214" w:rsidRDefault="00EC074A" w:rsidP="009A0179">
      <w:pPr>
        <w:pStyle w:val="ListParagraph"/>
        <w:spacing w:after="0"/>
        <w:ind w:left="1440"/>
        <w:jc w:val="both"/>
        <w:rPr>
          <w:rFonts w:ascii="Times New Roman" w:hAnsi="Times New Roman" w:cs="Times New Roman"/>
          <w:b/>
          <w:sz w:val="24"/>
          <w:szCs w:val="24"/>
          <w:u w:val="single"/>
        </w:rPr>
      </w:pPr>
    </w:p>
    <w:p w14:paraId="7C580497" w14:textId="3E80B5CF" w:rsidR="00854EA8" w:rsidRPr="007D4214" w:rsidRDefault="00854EA8" w:rsidP="00854EA8">
      <w:pPr>
        <w:jc w:val="both"/>
        <w:rPr>
          <w:rFonts w:ascii="Times New Roman" w:hAnsi="Times New Roman" w:cs="Times New Roman"/>
          <w:sz w:val="24"/>
          <w:szCs w:val="24"/>
        </w:rPr>
      </w:pPr>
      <w:bookmarkStart w:id="2" w:name="_Hlk158639639"/>
      <w:r w:rsidRPr="007D4214">
        <w:rPr>
          <w:rFonts w:ascii="Times New Roman" w:hAnsi="Times New Roman" w:cs="Times New Roman"/>
          <w:sz w:val="24"/>
          <w:szCs w:val="24"/>
        </w:rPr>
        <w:t>Article 8 of the City Code (“the Ethics Law”), in pertinent part, provides the following definition</w:t>
      </w:r>
      <w:r w:rsidR="00EC074A">
        <w:rPr>
          <w:rFonts w:ascii="Times New Roman" w:hAnsi="Times New Roman" w:cs="Times New Roman"/>
          <w:sz w:val="24"/>
          <w:szCs w:val="24"/>
        </w:rPr>
        <w:t>:</w:t>
      </w:r>
    </w:p>
    <w:p w14:paraId="57B50360" w14:textId="77777777" w:rsidR="00854EA8" w:rsidRPr="002B69DA" w:rsidRDefault="00854EA8" w:rsidP="00854EA8">
      <w:pPr>
        <w:ind w:firstLine="720"/>
        <w:jc w:val="both"/>
        <w:rPr>
          <w:rFonts w:ascii="Times New Roman" w:hAnsi="Times New Roman" w:cs="Times New Roman"/>
          <w:b/>
          <w:bCs/>
          <w:i/>
          <w:iCs/>
          <w:sz w:val="24"/>
          <w:szCs w:val="24"/>
        </w:rPr>
      </w:pPr>
      <w:r w:rsidRPr="002B69DA">
        <w:rPr>
          <w:rFonts w:ascii="Times New Roman" w:hAnsi="Times New Roman" w:cs="Times New Roman"/>
          <w:b/>
          <w:bCs/>
          <w:i/>
          <w:iCs/>
          <w:sz w:val="24"/>
          <w:szCs w:val="24"/>
        </w:rPr>
        <w:t>§ 2-21. “Official”.</w:t>
      </w:r>
    </w:p>
    <w:p w14:paraId="564F50B7" w14:textId="77777777" w:rsidR="00854EA8" w:rsidRPr="002B69DA" w:rsidRDefault="00854EA8" w:rsidP="00854EA8">
      <w:pPr>
        <w:jc w:val="both"/>
        <w:rPr>
          <w:rFonts w:ascii="Times New Roman" w:hAnsi="Times New Roman" w:cs="Times New Roman"/>
          <w:sz w:val="24"/>
          <w:szCs w:val="24"/>
        </w:rPr>
      </w:pPr>
      <w:r w:rsidRPr="002B69DA">
        <w:rPr>
          <w:rFonts w:ascii="Times New Roman" w:hAnsi="Times New Roman" w:cs="Times New Roman"/>
          <w:sz w:val="24"/>
          <w:szCs w:val="24"/>
        </w:rPr>
        <w:t>(a) In general. “Official” means …</w:t>
      </w:r>
    </w:p>
    <w:p w14:paraId="3BD86A53" w14:textId="739E3504" w:rsidR="00854EA8" w:rsidRPr="002B69DA" w:rsidRDefault="00854EA8" w:rsidP="009A0179">
      <w:pPr>
        <w:ind w:left="450" w:right="630"/>
        <w:jc w:val="both"/>
        <w:rPr>
          <w:rFonts w:ascii="Times New Roman" w:hAnsi="Times New Roman" w:cs="Times New Roman"/>
          <w:sz w:val="24"/>
          <w:szCs w:val="24"/>
        </w:rPr>
      </w:pPr>
      <w:r w:rsidRPr="002B69DA">
        <w:rPr>
          <w:rFonts w:ascii="Times New Roman" w:hAnsi="Times New Roman" w:cs="Times New Roman"/>
          <w:sz w:val="24"/>
          <w:szCs w:val="24"/>
        </w:rPr>
        <w:t>(4)</w:t>
      </w:r>
      <w:r>
        <w:rPr>
          <w:rFonts w:ascii="Times New Roman" w:hAnsi="Times New Roman" w:cs="Times New Roman"/>
          <w:sz w:val="24"/>
          <w:szCs w:val="24"/>
        </w:rPr>
        <w:t xml:space="preserve"> </w:t>
      </w:r>
      <w:r w:rsidRPr="002B69DA">
        <w:rPr>
          <w:rFonts w:ascii="Times New Roman" w:hAnsi="Times New Roman" w:cs="Times New Roman"/>
          <w:sz w:val="24"/>
          <w:szCs w:val="24"/>
        </w:rPr>
        <w:t>any other individual in a unit of City government who, whether acting alone or as a member of a board acting jointly with other board members:</w:t>
      </w:r>
    </w:p>
    <w:p w14:paraId="7873D6EE" w14:textId="701D2F7B" w:rsidR="00854EA8" w:rsidRPr="002B69DA" w:rsidRDefault="00854EA8" w:rsidP="00854EA8">
      <w:pPr>
        <w:spacing w:after="0"/>
        <w:ind w:left="1080" w:right="630" w:hanging="360"/>
        <w:jc w:val="both"/>
        <w:rPr>
          <w:rFonts w:ascii="Times New Roman" w:hAnsi="Times New Roman" w:cs="Times New Roman"/>
          <w:sz w:val="24"/>
          <w:szCs w:val="24"/>
        </w:rPr>
      </w:pPr>
      <w:r w:rsidRPr="002B69DA">
        <w:rPr>
          <w:rFonts w:ascii="Times New Roman" w:hAnsi="Times New Roman" w:cs="Times New Roman"/>
          <w:sz w:val="24"/>
          <w:szCs w:val="24"/>
        </w:rPr>
        <w:t>(</w:t>
      </w:r>
      <w:proofErr w:type="spellStart"/>
      <w:r w:rsidRPr="002B69DA">
        <w:rPr>
          <w:rFonts w:ascii="Times New Roman" w:hAnsi="Times New Roman" w:cs="Times New Roman"/>
          <w:sz w:val="24"/>
          <w:szCs w:val="24"/>
        </w:rPr>
        <w:t>i</w:t>
      </w:r>
      <w:proofErr w:type="spellEnd"/>
      <w:r w:rsidRPr="002B69DA">
        <w:rPr>
          <w:rFonts w:ascii="Times New Roman" w:hAnsi="Times New Roman" w:cs="Times New Roman"/>
          <w:sz w:val="24"/>
          <w:szCs w:val="24"/>
        </w:rPr>
        <w:t>)</w:t>
      </w:r>
      <w:r>
        <w:rPr>
          <w:rFonts w:ascii="Times New Roman" w:hAnsi="Times New Roman" w:cs="Times New Roman"/>
          <w:sz w:val="24"/>
          <w:szCs w:val="24"/>
        </w:rPr>
        <w:t xml:space="preserve"> </w:t>
      </w:r>
      <w:r w:rsidRPr="002B69DA">
        <w:rPr>
          <w:rFonts w:ascii="Times New Roman" w:hAnsi="Times New Roman" w:cs="Times New Roman"/>
          <w:sz w:val="24"/>
          <w:szCs w:val="24"/>
        </w:rPr>
        <w:t xml:space="preserve">has authority comparable to that of the head of a department or the head of a bureau or </w:t>
      </w:r>
      <w:proofErr w:type="gramStart"/>
      <w:r w:rsidRPr="002B69DA">
        <w:rPr>
          <w:rFonts w:ascii="Times New Roman" w:hAnsi="Times New Roman" w:cs="Times New Roman"/>
          <w:sz w:val="24"/>
          <w:szCs w:val="24"/>
        </w:rPr>
        <w:t>division;</w:t>
      </w:r>
      <w:proofErr w:type="gramEnd"/>
    </w:p>
    <w:p w14:paraId="0F094E11" w14:textId="43B7D850" w:rsidR="00854EA8" w:rsidRPr="002B69DA" w:rsidRDefault="00854EA8" w:rsidP="00854EA8">
      <w:pPr>
        <w:spacing w:after="0"/>
        <w:ind w:left="1080" w:right="630" w:hanging="360"/>
        <w:jc w:val="both"/>
        <w:rPr>
          <w:rFonts w:ascii="Times New Roman" w:hAnsi="Times New Roman" w:cs="Times New Roman"/>
          <w:sz w:val="24"/>
          <w:szCs w:val="24"/>
        </w:rPr>
      </w:pPr>
      <w:r w:rsidRPr="002B69DA">
        <w:rPr>
          <w:rFonts w:ascii="Times New Roman" w:hAnsi="Times New Roman" w:cs="Times New Roman"/>
          <w:sz w:val="24"/>
          <w:szCs w:val="24"/>
        </w:rPr>
        <w:t>(ii)</w:t>
      </w:r>
      <w:r>
        <w:rPr>
          <w:rFonts w:ascii="Times New Roman" w:hAnsi="Times New Roman" w:cs="Times New Roman"/>
          <w:sz w:val="24"/>
          <w:szCs w:val="24"/>
        </w:rPr>
        <w:t xml:space="preserve"> </w:t>
      </w:r>
      <w:r w:rsidRPr="002B69DA">
        <w:rPr>
          <w:rFonts w:ascii="Times New Roman" w:hAnsi="Times New Roman" w:cs="Times New Roman"/>
          <w:sz w:val="24"/>
          <w:szCs w:val="24"/>
        </w:rPr>
        <w:t xml:space="preserve">has decision-making authority in making City </w:t>
      </w:r>
      <w:proofErr w:type="gramStart"/>
      <w:r w:rsidRPr="002B69DA">
        <w:rPr>
          <w:rFonts w:ascii="Times New Roman" w:hAnsi="Times New Roman" w:cs="Times New Roman"/>
          <w:sz w:val="24"/>
          <w:szCs w:val="24"/>
        </w:rPr>
        <w:t>policy;</w:t>
      </w:r>
      <w:proofErr w:type="gramEnd"/>
    </w:p>
    <w:p w14:paraId="7304A156" w14:textId="1FA190A3" w:rsidR="00854EA8" w:rsidRPr="002B69DA" w:rsidRDefault="00854EA8" w:rsidP="00854EA8">
      <w:pPr>
        <w:spacing w:after="0"/>
        <w:ind w:left="1080" w:right="630" w:hanging="360"/>
        <w:jc w:val="both"/>
        <w:rPr>
          <w:rFonts w:ascii="Times New Roman" w:hAnsi="Times New Roman" w:cs="Times New Roman"/>
          <w:sz w:val="24"/>
          <w:szCs w:val="24"/>
        </w:rPr>
      </w:pPr>
      <w:r w:rsidRPr="002B69DA">
        <w:rPr>
          <w:rFonts w:ascii="Times New Roman" w:hAnsi="Times New Roman" w:cs="Times New Roman"/>
          <w:sz w:val="24"/>
          <w:szCs w:val="24"/>
        </w:rPr>
        <w:t>(iii)</w:t>
      </w:r>
      <w:r>
        <w:rPr>
          <w:rFonts w:ascii="Times New Roman" w:hAnsi="Times New Roman" w:cs="Times New Roman"/>
          <w:sz w:val="24"/>
          <w:szCs w:val="24"/>
        </w:rPr>
        <w:t xml:space="preserve"> </w:t>
      </w:r>
      <w:r w:rsidRPr="002B69DA">
        <w:rPr>
          <w:rFonts w:ascii="Times New Roman" w:hAnsi="Times New Roman" w:cs="Times New Roman"/>
          <w:sz w:val="24"/>
          <w:szCs w:val="24"/>
        </w:rPr>
        <w:t>has decision-making authority in the exercise of quasi-judicial, regulatory, licensing, inspecting, or auditing functions; or</w:t>
      </w:r>
    </w:p>
    <w:p w14:paraId="13AE652B" w14:textId="7BD1C687" w:rsidR="00854EA8" w:rsidRDefault="00854EA8" w:rsidP="009A0179">
      <w:pPr>
        <w:spacing w:after="0"/>
        <w:ind w:left="1080" w:right="630" w:hanging="360"/>
        <w:jc w:val="both"/>
        <w:rPr>
          <w:rFonts w:ascii="Times New Roman" w:hAnsi="Times New Roman" w:cs="Times New Roman"/>
          <w:sz w:val="24"/>
          <w:szCs w:val="24"/>
        </w:rPr>
      </w:pPr>
      <w:r w:rsidRPr="002B69DA">
        <w:rPr>
          <w:rFonts w:ascii="Times New Roman" w:hAnsi="Times New Roman" w:cs="Times New Roman"/>
          <w:sz w:val="24"/>
          <w:szCs w:val="24"/>
        </w:rPr>
        <w:t>(iv)</w:t>
      </w:r>
      <w:r>
        <w:rPr>
          <w:rFonts w:ascii="Times New Roman" w:hAnsi="Times New Roman" w:cs="Times New Roman"/>
          <w:sz w:val="24"/>
          <w:szCs w:val="24"/>
        </w:rPr>
        <w:t xml:space="preserve"> </w:t>
      </w:r>
      <w:r w:rsidRPr="002B69DA">
        <w:rPr>
          <w:rFonts w:ascii="Times New Roman" w:hAnsi="Times New Roman" w:cs="Times New Roman"/>
          <w:sz w:val="24"/>
          <w:szCs w:val="24"/>
        </w:rPr>
        <w:t>acts as a principal advisor to one who has authority of the type listed.</w:t>
      </w:r>
    </w:p>
    <w:p w14:paraId="0861F00F" w14:textId="77777777" w:rsidR="00854EA8" w:rsidRPr="002B69DA" w:rsidRDefault="00854EA8" w:rsidP="009A0179">
      <w:pPr>
        <w:spacing w:after="0"/>
        <w:ind w:left="720" w:right="630" w:hanging="180"/>
        <w:jc w:val="both"/>
        <w:rPr>
          <w:rFonts w:ascii="Times New Roman" w:hAnsi="Times New Roman" w:cs="Times New Roman"/>
          <w:sz w:val="24"/>
          <w:szCs w:val="24"/>
        </w:rPr>
      </w:pPr>
    </w:p>
    <w:p w14:paraId="246BDF17" w14:textId="2ADD3A70" w:rsidR="00854EA8" w:rsidRPr="002B69DA" w:rsidRDefault="008A2E86" w:rsidP="00854EA8">
      <w:pPr>
        <w:jc w:val="both"/>
        <w:rPr>
          <w:rFonts w:ascii="Times New Roman" w:hAnsi="Times New Roman" w:cs="Times New Roman"/>
          <w:sz w:val="24"/>
          <w:szCs w:val="24"/>
        </w:rPr>
      </w:pPr>
      <w:r>
        <w:rPr>
          <w:rFonts w:ascii="Times New Roman" w:hAnsi="Times New Roman" w:cs="Times New Roman"/>
          <w:sz w:val="24"/>
          <w:szCs w:val="24"/>
        </w:rPr>
        <w:t xml:space="preserve">FEF </w:t>
      </w:r>
      <w:r w:rsidR="00854EA8" w:rsidRPr="002B69DA">
        <w:rPr>
          <w:rFonts w:ascii="Times New Roman" w:hAnsi="Times New Roman" w:cs="Times New Roman"/>
          <w:sz w:val="24"/>
          <w:szCs w:val="24"/>
        </w:rPr>
        <w:t>Commissioners advise the Department of Finance and other City officials on Fair Election Fund-related policy, th</w:t>
      </w:r>
      <w:r w:rsidR="009C4993">
        <w:rPr>
          <w:rFonts w:ascii="Times New Roman" w:hAnsi="Times New Roman" w:cs="Times New Roman"/>
          <w:sz w:val="24"/>
          <w:szCs w:val="24"/>
        </w:rPr>
        <w:t xml:space="preserve">us </w:t>
      </w:r>
      <w:r w:rsidR="00854EA8" w:rsidRPr="002B69DA">
        <w:rPr>
          <w:rFonts w:ascii="Times New Roman" w:hAnsi="Times New Roman" w:cs="Times New Roman"/>
          <w:sz w:val="24"/>
          <w:szCs w:val="24"/>
        </w:rPr>
        <w:t>qualify as “officials” under the Ethics Law, and th</w:t>
      </w:r>
      <w:r w:rsidR="009C4993">
        <w:rPr>
          <w:rFonts w:ascii="Times New Roman" w:hAnsi="Times New Roman" w:cs="Times New Roman"/>
          <w:sz w:val="24"/>
          <w:szCs w:val="24"/>
        </w:rPr>
        <w:t>erefore are</w:t>
      </w:r>
      <w:r w:rsidR="00854EA8" w:rsidRPr="002B69DA">
        <w:rPr>
          <w:rFonts w:ascii="Times New Roman" w:hAnsi="Times New Roman" w:cs="Times New Roman"/>
          <w:sz w:val="24"/>
          <w:szCs w:val="24"/>
        </w:rPr>
        <w:t xml:space="preserve"> subject to its provisions.</w:t>
      </w:r>
    </w:p>
    <w:bookmarkEnd w:id="2"/>
    <w:p w14:paraId="6AC33AD5" w14:textId="5D574D8C" w:rsidR="00087E1B" w:rsidRDefault="002E18FC" w:rsidP="002E18FC">
      <w:pPr>
        <w:jc w:val="center"/>
        <w:rPr>
          <w:rFonts w:ascii="Times New Roman" w:hAnsi="Times New Roman" w:cs="Times New Roman"/>
          <w:b/>
          <w:bCs/>
          <w:u w:val="single"/>
        </w:rPr>
      </w:pPr>
      <w:r>
        <w:rPr>
          <w:rFonts w:ascii="Times New Roman" w:hAnsi="Times New Roman" w:cs="Times New Roman"/>
          <w:b/>
          <w:bCs/>
        </w:rPr>
        <w:t>A.</w:t>
      </w:r>
      <w:r w:rsidR="00C141C8" w:rsidRPr="005F134D">
        <w:rPr>
          <w:rFonts w:ascii="Times New Roman" w:hAnsi="Times New Roman" w:cs="Times New Roman"/>
          <w:b/>
          <w:bCs/>
        </w:rPr>
        <w:tab/>
      </w:r>
      <w:r w:rsidR="005F134D" w:rsidRPr="005F134D">
        <w:rPr>
          <w:rFonts w:ascii="Times New Roman" w:hAnsi="Times New Roman" w:cs="Times New Roman"/>
          <w:b/>
          <w:bCs/>
          <w:u w:val="single"/>
        </w:rPr>
        <w:t>Potential Conflicts for FEF Commissioners under Art.</w:t>
      </w:r>
      <w:r w:rsidR="005F134D" w:rsidRPr="004B0D34">
        <w:rPr>
          <w:rFonts w:ascii="Times New Roman" w:hAnsi="Times New Roman" w:cs="Times New Roman"/>
          <w:b/>
          <w:bCs/>
          <w:u w:val="single"/>
        </w:rPr>
        <w:t xml:space="preserve"> 8</w:t>
      </w:r>
    </w:p>
    <w:p w14:paraId="7B9A7BEE" w14:textId="77777777" w:rsidR="003835A5" w:rsidRPr="009A0179" w:rsidRDefault="003835A5" w:rsidP="009A0179">
      <w:pPr>
        <w:jc w:val="center"/>
        <w:rPr>
          <w:rFonts w:ascii="Times New Roman" w:hAnsi="Times New Roman" w:cs="Times New Roman"/>
          <w:b/>
          <w:bCs/>
          <w:u w:val="single"/>
        </w:rPr>
      </w:pPr>
    </w:p>
    <w:p w14:paraId="55731D6F" w14:textId="134636CD" w:rsidR="00F47635" w:rsidRPr="009A0179" w:rsidRDefault="004B0D34" w:rsidP="009A0179">
      <w:pPr>
        <w:pStyle w:val="ListParagraph"/>
        <w:numPr>
          <w:ilvl w:val="0"/>
          <w:numId w:val="20"/>
        </w:numPr>
        <w:spacing w:after="0" w:line="276" w:lineRule="auto"/>
        <w:ind w:hanging="1080"/>
        <w:jc w:val="both"/>
        <w:rPr>
          <w:rFonts w:ascii="Times New Roman" w:hAnsi="Times New Roman" w:cs="Times New Roman"/>
          <w:b/>
          <w:bCs/>
        </w:rPr>
      </w:pPr>
      <w:r w:rsidRPr="009A0179">
        <w:rPr>
          <w:rFonts w:ascii="Times New Roman" w:hAnsi="Times New Roman" w:cs="Times New Roman"/>
          <w:b/>
          <w:bCs/>
          <w:u w:val="single"/>
        </w:rPr>
        <w:t xml:space="preserve">§ 6-6.  Prohibited </w:t>
      </w:r>
      <w:proofErr w:type="gramStart"/>
      <w:r w:rsidRPr="009A0179">
        <w:rPr>
          <w:rFonts w:ascii="Times New Roman" w:hAnsi="Times New Roman" w:cs="Times New Roman"/>
          <w:b/>
          <w:bCs/>
          <w:u w:val="single"/>
        </w:rPr>
        <w:t>participation</w:t>
      </w:r>
      <w:proofErr w:type="gramEnd"/>
    </w:p>
    <w:p w14:paraId="620D3544" w14:textId="77777777" w:rsidR="00776311" w:rsidRDefault="00776311" w:rsidP="00F7092C">
      <w:pPr>
        <w:spacing w:after="0" w:line="276" w:lineRule="auto"/>
        <w:jc w:val="both"/>
        <w:rPr>
          <w:rFonts w:ascii="Times New Roman" w:hAnsi="Times New Roman" w:cs="Times New Roman"/>
          <w:sz w:val="24"/>
          <w:szCs w:val="24"/>
        </w:rPr>
      </w:pPr>
    </w:p>
    <w:p w14:paraId="5491ADA3" w14:textId="77DC85FD" w:rsidR="00D24CCE" w:rsidRPr="009A0179" w:rsidRDefault="00F7092C" w:rsidP="00F7092C">
      <w:pPr>
        <w:spacing w:after="0" w:line="276" w:lineRule="auto"/>
        <w:jc w:val="both"/>
        <w:rPr>
          <w:rFonts w:ascii="Times New Roman" w:hAnsi="Times New Roman" w:cs="Times New Roman"/>
          <w:sz w:val="24"/>
          <w:szCs w:val="24"/>
        </w:rPr>
      </w:pPr>
      <w:r w:rsidRPr="009A0179">
        <w:rPr>
          <w:rFonts w:ascii="Times New Roman" w:hAnsi="Times New Roman" w:cs="Times New Roman"/>
          <w:sz w:val="24"/>
          <w:szCs w:val="24"/>
        </w:rPr>
        <w:t xml:space="preserve">Section 6-6 {Prohibited participation}, </w:t>
      </w:r>
      <w:r w:rsidRPr="009A0179">
        <w:rPr>
          <w:rFonts w:ascii="Times New Roman" w:hAnsi="Times New Roman" w:cs="Times New Roman"/>
          <w:i/>
          <w:iCs/>
          <w:sz w:val="24"/>
          <w:szCs w:val="24"/>
        </w:rPr>
        <w:t>inter alia</w:t>
      </w:r>
      <w:r w:rsidRPr="009A0179">
        <w:rPr>
          <w:rFonts w:ascii="Times New Roman" w:hAnsi="Times New Roman" w:cs="Times New Roman"/>
          <w:sz w:val="24"/>
          <w:szCs w:val="24"/>
        </w:rPr>
        <w:t>, prohibits a public servant from participating in any matter that the public servant or a disqualifying relative has an interest in of which the public servant might reasonably be expected to know.</w:t>
      </w:r>
      <w:r w:rsidRPr="009A0179">
        <w:rPr>
          <w:rStyle w:val="EndnoteReference"/>
          <w:rFonts w:ascii="Times New Roman" w:hAnsi="Times New Roman" w:cs="Times New Roman"/>
          <w:sz w:val="24"/>
          <w:szCs w:val="24"/>
        </w:rPr>
        <w:endnoteReference w:id="1"/>
      </w:r>
    </w:p>
    <w:p w14:paraId="7338D59F" w14:textId="77777777" w:rsidR="00F7092C" w:rsidRPr="009A0179" w:rsidRDefault="00F7092C" w:rsidP="00F7092C">
      <w:pPr>
        <w:spacing w:after="0" w:line="276" w:lineRule="auto"/>
        <w:jc w:val="both"/>
        <w:rPr>
          <w:rFonts w:ascii="Times New Roman" w:hAnsi="Times New Roman" w:cs="Times New Roman"/>
          <w:sz w:val="24"/>
          <w:szCs w:val="24"/>
        </w:rPr>
      </w:pPr>
    </w:p>
    <w:p w14:paraId="62671ED2" w14:textId="07B10ED3" w:rsidR="00A94812" w:rsidRPr="009A0179" w:rsidRDefault="003020C1" w:rsidP="00A94812">
      <w:pPr>
        <w:spacing w:after="0" w:line="276" w:lineRule="auto"/>
        <w:jc w:val="both"/>
        <w:rPr>
          <w:rFonts w:ascii="Times New Roman" w:hAnsi="Times New Roman" w:cs="Times New Roman"/>
          <w:sz w:val="24"/>
          <w:szCs w:val="24"/>
        </w:rPr>
      </w:pPr>
      <w:r w:rsidRPr="009A0179">
        <w:rPr>
          <w:rFonts w:ascii="Times New Roman" w:hAnsi="Times New Roman" w:cs="Times New Roman"/>
          <w:sz w:val="24"/>
          <w:szCs w:val="24"/>
        </w:rPr>
        <w:t xml:space="preserve">Section 2-19 (a) defines “Interest” (except as specified in subsection (b) of that section), </w:t>
      </w:r>
      <w:r w:rsidR="00A94812" w:rsidRPr="009A0179">
        <w:rPr>
          <w:rFonts w:ascii="Times New Roman" w:hAnsi="Times New Roman" w:cs="Times New Roman"/>
          <w:sz w:val="24"/>
          <w:szCs w:val="24"/>
        </w:rPr>
        <w:t xml:space="preserve">as </w:t>
      </w:r>
      <w:r w:rsidRPr="009A0179">
        <w:rPr>
          <w:rFonts w:ascii="Times New Roman" w:hAnsi="Times New Roman" w:cs="Times New Roman"/>
          <w:sz w:val="24"/>
          <w:szCs w:val="24"/>
        </w:rPr>
        <w:t xml:space="preserve">any legal or equitable </w:t>
      </w:r>
      <w:r w:rsidRPr="009A0179">
        <w:rPr>
          <w:rFonts w:ascii="Times New Roman" w:hAnsi="Times New Roman" w:cs="Times New Roman"/>
          <w:sz w:val="24"/>
          <w:szCs w:val="24"/>
          <w:u w:val="single"/>
        </w:rPr>
        <w:t>economic interest</w:t>
      </w:r>
      <w:r w:rsidRPr="009A0179">
        <w:rPr>
          <w:rFonts w:ascii="Times New Roman" w:hAnsi="Times New Roman" w:cs="Times New Roman"/>
          <w:sz w:val="24"/>
          <w:szCs w:val="24"/>
        </w:rPr>
        <w:t xml:space="preserve">, </w:t>
      </w:r>
      <w:proofErr w:type="gramStart"/>
      <w:r w:rsidRPr="009A0179">
        <w:rPr>
          <w:rFonts w:ascii="Times New Roman" w:hAnsi="Times New Roman" w:cs="Times New Roman"/>
          <w:sz w:val="24"/>
          <w:szCs w:val="24"/>
        </w:rPr>
        <w:t>whether or not</w:t>
      </w:r>
      <w:proofErr w:type="gramEnd"/>
      <w:r w:rsidRPr="009A0179">
        <w:rPr>
          <w:rFonts w:ascii="Times New Roman" w:hAnsi="Times New Roman" w:cs="Times New Roman"/>
          <w:sz w:val="24"/>
          <w:szCs w:val="24"/>
        </w:rPr>
        <w:t xml:space="preserve"> subject to an encumbrance or a condition, that is owned or held wholly or partly, jointly or severally, or directly or indirectly.</w:t>
      </w:r>
    </w:p>
    <w:p w14:paraId="1AB3C4C1" w14:textId="77777777" w:rsidR="00CF1477" w:rsidRPr="009A0179" w:rsidRDefault="00CF1477" w:rsidP="00A94812">
      <w:pPr>
        <w:spacing w:after="0" w:line="276" w:lineRule="auto"/>
        <w:jc w:val="both"/>
        <w:rPr>
          <w:rFonts w:ascii="Times New Roman" w:hAnsi="Times New Roman" w:cs="Times New Roman"/>
          <w:sz w:val="24"/>
          <w:szCs w:val="24"/>
        </w:rPr>
      </w:pPr>
    </w:p>
    <w:p w14:paraId="25E126E9" w14:textId="3A11A287" w:rsidR="00A72996" w:rsidRPr="009A0179" w:rsidRDefault="00AB6734" w:rsidP="00A94812">
      <w:pPr>
        <w:spacing w:after="0" w:line="276" w:lineRule="auto"/>
        <w:jc w:val="both"/>
        <w:rPr>
          <w:rFonts w:ascii="Times New Roman" w:eastAsia="Times New Roman" w:hAnsi="Times New Roman" w:cs="Times New Roman"/>
          <w:b/>
          <w:color w:val="000000"/>
          <w:sz w:val="24"/>
          <w:szCs w:val="24"/>
          <w:shd w:val="clear" w:color="auto" w:fill="FFFFFF"/>
        </w:rPr>
      </w:pPr>
      <w:r w:rsidRPr="009A0179">
        <w:rPr>
          <w:rFonts w:ascii="Times New Roman" w:hAnsi="Times New Roman" w:cs="Times New Roman"/>
          <w:sz w:val="24"/>
          <w:szCs w:val="24"/>
        </w:rPr>
        <w:t>Maryland State Election Law Article, Title 13, §</w:t>
      </w:r>
      <w:r w:rsidR="003835A5">
        <w:rPr>
          <w:rFonts w:ascii="Times New Roman" w:hAnsi="Times New Roman" w:cs="Times New Roman"/>
          <w:sz w:val="24"/>
          <w:szCs w:val="24"/>
        </w:rPr>
        <w:t xml:space="preserve"> </w:t>
      </w:r>
      <w:r w:rsidRPr="009A0179">
        <w:rPr>
          <w:rFonts w:ascii="Times New Roman" w:hAnsi="Times New Roman" w:cs="Times New Roman"/>
          <w:sz w:val="24"/>
          <w:szCs w:val="24"/>
        </w:rPr>
        <w:t>13–226 (e) (1), defines “business” more narrowly:</w:t>
      </w:r>
    </w:p>
    <w:p w14:paraId="1B0F1F90" w14:textId="77777777" w:rsidR="00AB6734" w:rsidRPr="009A0179" w:rsidRDefault="00AB6734" w:rsidP="00A94812">
      <w:pPr>
        <w:spacing w:line="276" w:lineRule="auto"/>
        <w:ind w:left="720" w:right="630"/>
        <w:jc w:val="both"/>
        <w:rPr>
          <w:rFonts w:ascii="Times New Roman" w:hAnsi="Times New Roman" w:cs="Times New Roman"/>
          <w:sz w:val="24"/>
          <w:szCs w:val="24"/>
        </w:rPr>
      </w:pPr>
      <w:r w:rsidRPr="009A0179">
        <w:rPr>
          <w:rFonts w:ascii="Times New Roman" w:hAnsi="Times New Roman" w:cs="Times New Roman"/>
          <w:sz w:val="24"/>
          <w:szCs w:val="24"/>
        </w:rPr>
        <w:t>In this subsection, “business entity” includes a corporation, a sole proprietorship, a general partnership, a limited partnership, a limited liability company, a real estate investment trust, or other entity.</w:t>
      </w:r>
    </w:p>
    <w:p w14:paraId="0B5CAF10" w14:textId="3F21856C" w:rsidR="00511492" w:rsidRPr="009A0179" w:rsidRDefault="008D69AC" w:rsidP="009A0179">
      <w:pPr>
        <w:spacing w:after="0" w:line="276" w:lineRule="auto"/>
        <w:ind w:right="-90"/>
        <w:jc w:val="both"/>
        <w:rPr>
          <w:rFonts w:ascii="Times New Roman" w:hAnsi="Times New Roman" w:cs="Times New Roman"/>
          <w:sz w:val="24"/>
          <w:szCs w:val="24"/>
        </w:rPr>
      </w:pPr>
      <w:r w:rsidRPr="009A0179">
        <w:rPr>
          <w:rFonts w:ascii="Times New Roman" w:eastAsia="Times New Roman" w:hAnsi="Times New Roman" w:cs="Times New Roman"/>
          <w:color w:val="000000"/>
          <w:sz w:val="24"/>
          <w:szCs w:val="24"/>
          <w:shd w:val="clear" w:color="auto" w:fill="FFFFFF"/>
        </w:rPr>
        <w:t xml:space="preserve">Any campaign contributions made by FEF Commissioners, monetary and/or in-kind, </w:t>
      </w:r>
      <w:r w:rsidR="002E18FC">
        <w:rPr>
          <w:rFonts w:ascii="Times New Roman" w:eastAsia="Times New Roman" w:hAnsi="Times New Roman" w:cs="Times New Roman"/>
          <w:color w:val="000000"/>
          <w:sz w:val="24"/>
          <w:szCs w:val="24"/>
          <w:shd w:val="clear" w:color="auto" w:fill="FFFFFF"/>
        </w:rPr>
        <w:t xml:space="preserve">is </w:t>
      </w:r>
      <w:r w:rsidRPr="009A0179">
        <w:rPr>
          <w:rFonts w:ascii="Times New Roman" w:eastAsia="Times New Roman" w:hAnsi="Times New Roman" w:cs="Times New Roman"/>
          <w:color w:val="000000"/>
          <w:sz w:val="24"/>
          <w:szCs w:val="24"/>
          <w:shd w:val="clear" w:color="auto" w:fill="FFFFFF"/>
        </w:rPr>
        <w:t>not made to the elected/incumbent officials, candidates, or any third-party business entity, but to their State-</w:t>
      </w:r>
      <w:r w:rsidRPr="009A0179">
        <w:rPr>
          <w:rFonts w:ascii="Times New Roman" w:eastAsia="Times New Roman" w:hAnsi="Times New Roman" w:cs="Times New Roman"/>
          <w:color w:val="000000"/>
          <w:sz w:val="24"/>
          <w:szCs w:val="24"/>
          <w:shd w:val="clear" w:color="auto" w:fill="FFFFFF"/>
        </w:rPr>
        <w:lastRenderedPageBreak/>
        <w:t>regulated campaign finance entities.</w:t>
      </w:r>
      <w:r w:rsidRPr="009A0179">
        <w:rPr>
          <w:rFonts w:ascii="Times New Roman" w:hAnsi="Times New Roman" w:cs="Times New Roman"/>
          <w:sz w:val="24"/>
          <w:szCs w:val="24"/>
        </w:rPr>
        <w:t xml:space="preserve"> </w:t>
      </w:r>
      <w:r w:rsidR="00511492" w:rsidRPr="009A0179">
        <w:rPr>
          <w:rFonts w:ascii="Times New Roman" w:hAnsi="Times New Roman" w:cs="Times New Roman"/>
          <w:sz w:val="24"/>
          <w:szCs w:val="24"/>
        </w:rPr>
        <w:t>Under</w:t>
      </w:r>
      <w:r w:rsidRPr="009A0179">
        <w:rPr>
          <w:rFonts w:ascii="Times New Roman" w:hAnsi="Times New Roman" w:cs="Times New Roman"/>
          <w:sz w:val="24"/>
          <w:szCs w:val="24"/>
        </w:rPr>
        <w:t xml:space="preserve"> Title 13’s </w:t>
      </w:r>
      <w:r w:rsidR="00511492" w:rsidRPr="009A0179">
        <w:rPr>
          <w:rFonts w:ascii="Times New Roman" w:hAnsi="Times New Roman" w:cs="Times New Roman"/>
          <w:sz w:val="24"/>
          <w:szCs w:val="24"/>
        </w:rPr>
        <w:t>definition,</w:t>
      </w:r>
      <w:r w:rsidR="006F7D53" w:rsidRPr="009A0179">
        <w:rPr>
          <w:rFonts w:ascii="Times New Roman" w:hAnsi="Times New Roman" w:cs="Times New Roman"/>
          <w:sz w:val="24"/>
          <w:szCs w:val="24"/>
        </w:rPr>
        <w:t xml:space="preserve"> </w:t>
      </w:r>
      <w:r w:rsidR="000E1E40" w:rsidRPr="009A0179">
        <w:rPr>
          <w:rFonts w:ascii="Times New Roman" w:hAnsi="Times New Roman" w:cs="Times New Roman"/>
          <w:sz w:val="24"/>
          <w:szCs w:val="24"/>
        </w:rPr>
        <w:t xml:space="preserve">a political campaign may well be </w:t>
      </w:r>
      <w:r w:rsidR="00255AA0" w:rsidRPr="009A0179">
        <w:rPr>
          <w:rFonts w:ascii="Times New Roman" w:hAnsi="Times New Roman" w:cs="Times New Roman"/>
          <w:sz w:val="24"/>
          <w:szCs w:val="24"/>
        </w:rPr>
        <w:t>an “other entity</w:t>
      </w:r>
      <w:r w:rsidR="00BE6D8F" w:rsidRPr="009A0179">
        <w:rPr>
          <w:rFonts w:ascii="Times New Roman" w:hAnsi="Times New Roman" w:cs="Times New Roman"/>
          <w:sz w:val="24"/>
          <w:szCs w:val="24"/>
        </w:rPr>
        <w:t xml:space="preserve">,” but it also appears clear </w:t>
      </w:r>
      <w:r w:rsidR="007C221E" w:rsidRPr="009A0179">
        <w:rPr>
          <w:rFonts w:ascii="Times New Roman" w:hAnsi="Times New Roman" w:cs="Times New Roman"/>
          <w:sz w:val="24"/>
          <w:szCs w:val="24"/>
        </w:rPr>
        <w:t xml:space="preserve">that making a campaign contribution does not give the contributor a financial or other </w:t>
      </w:r>
      <w:r w:rsidR="008A6C93" w:rsidRPr="009A0179">
        <w:rPr>
          <w:rFonts w:ascii="Times New Roman" w:hAnsi="Times New Roman" w:cs="Times New Roman"/>
          <w:sz w:val="24"/>
          <w:szCs w:val="24"/>
        </w:rPr>
        <w:t xml:space="preserve">cognizable </w:t>
      </w:r>
      <w:r w:rsidR="00A81B9D" w:rsidRPr="009A0179">
        <w:rPr>
          <w:rFonts w:ascii="Times New Roman" w:hAnsi="Times New Roman" w:cs="Times New Roman"/>
          <w:sz w:val="24"/>
          <w:szCs w:val="24"/>
        </w:rPr>
        <w:t>“interest” (in the meaning of Art. 8) in the campaign or the candidate.</w:t>
      </w:r>
    </w:p>
    <w:p w14:paraId="64B326C6" w14:textId="77777777" w:rsidR="00A94812" w:rsidRPr="009A0179" w:rsidRDefault="00A94812" w:rsidP="00A94812">
      <w:pPr>
        <w:spacing w:after="0" w:line="276" w:lineRule="auto"/>
        <w:ind w:right="-90"/>
        <w:jc w:val="both"/>
        <w:rPr>
          <w:rFonts w:ascii="Times New Roman" w:eastAsia="Times New Roman" w:hAnsi="Times New Roman" w:cs="Times New Roman"/>
          <w:color w:val="000000"/>
          <w:sz w:val="24"/>
          <w:szCs w:val="24"/>
          <w:shd w:val="clear" w:color="auto" w:fill="FFFFFF"/>
        </w:rPr>
      </w:pPr>
    </w:p>
    <w:p w14:paraId="77A1BD7B" w14:textId="595E9DCA" w:rsidR="00E930B6" w:rsidRPr="009A0179" w:rsidRDefault="004B0D34" w:rsidP="00A94812">
      <w:pPr>
        <w:spacing w:after="0" w:line="276" w:lineRule="auto"/>
        <w:ind w:right="-90"/>
        <w:jc w:val="both"/>
        <w:rPr>
          <w:rFonts w:ascii="Times New Roman" w:eastAsia="Times New Roman" w:hAnsi="Times New Roman" w:cs="Times New Roman"/>
          <w:color w:val="000000"/>
          <w:sz w:val="24"/>
          <w:szCs w:val="24"/>
          <w:shd w:val="clear" w:color="auto" w:fill="FFFFFF"/>
        </w:rPr>
      </w:pPr>
      <w:r w:rsidRPr="009A0179">
        <w:rPr>
          <w:rFonts w:ascii="Times New Roman" w:eastAsia="Times New Roman" w:hAnsi="Times New Roman" w:cs="Times New Roman"/>
          <w:color w:val="000000"/>
          <w:sz w:val="24"/>
          <w:szCs w:val="24"/>
          <w:shd w:val="clear" w:color="auto" w:fill="FFFFFF"/>
        </w:rPr>
        <w:t xml:space="preserve">The </w:t>
      </w:r>
      <w:r w:rsidR="00E930B6" w:rsidRPr="009A0179">
        <w:rPr>
          <w:rFonts w:ascii="Times New Roman" w:eastAsia="Times New Roman" w:hAnsi="Times New Roman" w:cs="Times New Roman"/>
          <w:color w:val="000000"/>
          <w:sz w:val="24"/>
          <w:szCs w:val="24"/>
          <w:shd w:val="clear" w:color="auto" w:fill="FFFFFF"/>
        </w:rPr>
        <w:t>Baltimore City Charter §15 (b) (3) {Special fund for fair elections} provides that each member of the Commission must:</w:t>
      </w:r>
    </w:p>
    <w:p w14:paraId="12EF1471" w14:textId="77777777" w:rsidR="00E930B6" w:rsidRPr="009A0179" w:rsidRDefault="00E930B6" w:rsidP="00E930B6">
      <w:pPr>
        <w:spacing w:after="0" w:line="276" w:lineRule="auto"/>
        <w:ind w:left="810" w:right="-720"/>
        <w:jc w:val="both"/>
        <w:rPr>
          <w:rFonts w:ascii="Times New Roman" w:eastAsia="Times New Roman" w:hAnsi="Times New Roman" w:cs="Times New Roman"/>
          <w:color w:val="000000"/>
          <w:sz w:val="24"/>
          <w:szCs w:val="24"/>
          <w:shd w:val="clear" w:color="auto" w:fill="FFFFFF"/>
        </w:rPr>
      </w:pPr>
      <w:r w:rsidRPr="009A0179">
        <w:rPr>
          <w:rFonts w:ascii="Times New Roman" w:eastAsia="Times New Roman" w:hAnsi="Times New Roman" w:cs="Times New Roman"/>
          <w:color w:val="000000"/>
          <w:sz w:val="24"/>
          <w:szCs w:val="24"/>
          <w:shd w:val="clear" w:color="auto" w:fill="FFFFFF"/>
        </w:rPr>
        <w:t>(</w:t>
      </w:r>
      <w:proofErr w:type="spellStart"/>
      <w:r w:rsidRPr="009A0179">
        <w:rPr>
          <w:rFonts w:ascii="Times New Roman" w:eastAsia="Times New Roman" w:hAnsi="Times New Roman" w:cs="Times New Roman"/>
          <w:color w:val="000000"/>
          <w:sz w:val="24"/>
          <w:szCs w:val="24"/>
          <w:shd w:val="clear" w:color="auto" w:fill="FFFFFF"/>
        </w:rPr>
        <w:t>i</w:t>
      </w:r>
      <w:proofErr w:type="spellEnd"/>
      <w:r w:rsidRPr="009A0179">
        <w:rPr>
          <w:rFonts w:ascii="Times New Roman" w:eastAsia="Times New Roman" w:hAnsi="Times New Roman" w:cs="Times New Roman"/>
          <w:color w:val="000000"/>
          <w:sz w:val="24"/>
          <w:szCs w:val="24"/>
          <w:shd w:val="clear" w:color="auto" w:fill="FFFFFF"/>
        </w:rPr>
        <w:t xml:space="preserve">) be a resident of the City of </w:t>
      </w:r>
      <w:proofErr w:type="gramStart"/>
      <w:r w:rsidRPr="009A0179">
        <w:rPr>
          <w:rFonts w:ascii="Times New Roman" w:eastAsia="Times New Roman" w:hAnsi="Times New Roman" w:cs="Times New Roman"/>
          <w:color w:val="000000"/>
          <w:sz w:val="24"/>
          <w:szCs w:val="24"/>
          <w:shd w:val="clear" w:color="auto" w:fill="FFFFFF"/>
        </w:rPr>
        <w:t>Baltimore;</w:t>
      </w:r>
      <w:proofErr w:type="gramEnd"/>
    </w:p>
    <w:p w14:paraId="78EFF728" w14:textId="77777777" w:rsidR="00E930B6" w:rsidRPr="009A0179" w:rsidRDefault="00E930B6" w:rsidP="00E930B6">
      <w:pPr>
        <w:spacing w:after="0" w:line="276" w:lineRule="auto"/>
        <w:ind w:left="810" w:right="-720"/>
        <w:jc w:val="both"/>
        <w:rPr>
          <w:rFonts w:ascii="Times New Roman" w:eastAsia="Times New Roman" w:hAnsi="Times New Roman" w:cs="Times New Roman"/>
          <w:b/>
          <w:bCs/>
          <w:color w:val="000000"/>
          <w:sz w:val="24"/>
          <w:szCs w:val="24"/>
          <w:shd w:val="clear" w:color="auto" w:fill="FFFFFF"/>
        </w:rPr>
      </w:pPr>
      <w:r w:rsidRPr="009A0179">
        <w:rPr>
          <w:rFonts w:ascii="Times New Roman" w:eastAsia="Times New Roman" w:hAnsi="Times New Roman" w:cs="Times New Roman"/>
          <w:b/>
          <w:bCs/>
          <w:color w:val="000000"/>
          <w:sz w:val="24"/>
          <w:szCs w:val="24"/>
          <w:shd w:val="clear" w:color="auto" w:fill="FFFFFF"/>
        </w:rPr>
        <w:t xml:space="preserve">(ii) not be a candidate for public </w:t>
      </w:r>
      <w:proofErr w:type="gramStart"/>
      <w:r w:rsidRPr="009A0179">
        <w:rPr>
          <w:rFonts w:ascii="Times New Roman" w:eastAsia="Times New Roman" w:hAnsi="Times New Roman" w:cs="Times New Roman"/>
          <w:b/>
          <w:bCs/>
          <w:color w:val="000000"/>
          <w:sz w:val="24"/>
          <w:szCs w:val="24"/>
          <w:shd w:val="clear" w:color="auto" w:fill="FFFFFF"/>
        </w:rPr>
        <w:t>office;</w:t>
      </w:r>
      <w:proofErr w:type="gramEnd"/>
    </w:p>
    <w:p w14:paraId="28E9BE02" w14:textId="77777777" w:rsidR="00E930B6" w:rsidRPr="009A0179" w:rsidRDefault="00E930B6" w:rsidP="00E930B6">
      <w:pPr>
        <w:spacing w:after="0" w:line="276" w:lineRule="auto"/>
        <w:ind w:left="810" w:right="-720"/>
        <w:jc w:val="both"/>
        <w:rPr>
          <w:rFonts w:ascii="Times New Roman" w:eastAsia="Times New Roman" w:hAnsi="Times New Roman" w:cs="Times New Roman"/>
          <w:color w:val="000000"/>
          <w:sz w:val="24"/>
          <w:szCs w:val="24"/>
          <w:shd w:val="clear" w:color="auto" w:fill="FFFFFF"/>
        </w:rPr>
      </w:pPr>
      <w:r w:rsidRPr="009A0179">
        <w:rPr>
          <w:rFonts w:ascii="Times New Roman" w:eastAsia="Times New Roman" w:hAnsi="Times New Roman" w:cs="Times New Roman"/>
          <w:color w:val="000000"/>
          <w:sz w:val="24"/>
          <w:szCs w:val="24"/>
          <w:shd w:val="clear" w:color="auto" w:fill="FFFFFF"/>
        </w:rPr>
        <w:t xml:space="preserve">(iii) not be a lobbyist required to register with the </w:t>
      </w:r>
      <w:proofErr w:type="gramStart"/>
      <w:r w:rsidRPr="009A0179">
        <w:rPr>
          <w:rFonts w:ascii="Times New Roman" w:eastAsia="Times New Roman" w:hAnsi="Times New Roman" w:cs="Times New Roman"/>
          <w:color w:val="000000"/>
          <w:sz w:val="24"/>
          <w:szCs w:val="24"/>
          <w:shd w:val="clear" w:color="auto" w:fill="FFFFFF"/>
        </w:rPr>
        <w:t>City;</w:t>
      </w:r>
      <w:proofErr w:type="gramEnd"/>
    </w:p>
    <w:p w14:paraId="2A2B0B99" w14:textId="77777777" w:rsidR="00E930B6" w:rsidRPr="009A0179" w:rsidRDefault="00E930B6" w:rsidP="00E930B6">
      <w:pPr>
        <w:spacing w:after="0" w:line="276" w:lineRule="auto"/>
        <w:ind w:left="810" w:right="-720"/>
        <w:jc w:val="both"/>
        <w:rPr>
          <w:rFonts w:ascii="Times New Roman" w:eastAsia="Times New Roman" w:hAnsi="Times New Roman" w:cs="Times New Roman"/>
          <w:b/>
          <w:bCs/>
          <w:color w:val="000000"/>
          <w:sz w:val="24"/>
          <w:szCs w:val="24"/>
          <w:shd w:val="clear" w:color="auto" w:fill="FFFFFF"/>
        </w:rPr>
      </w:pPr>
      <w:r w:rsidRPr="009A0179">
        <w:rPr>
          <w:rFonts w:ascii="Times New Roman" w:eastAsia="Times New Roman" w:hAnsi="Times New Roman" w:cs="Times New Roman"/>
          <w:b/>
          <w:bCs/>
          <w:color w:val="000000"/>
          <w:sz w:val="24"/>
          <w:szCs w:val="24"/>
          <w:shd w:val="clear" w:color="auto" w:fill="FFFFFF"/>
        </w:rPr>
        <w:t xml:space="preserve">(iv) not be the chair or treasurer for an open campaign </w:t>
      </w:r>
      <w:proofErr w:type="gramStart"/>
      <w:r w:rsidRPr="009A0179">
        <w:rPr>
          <w:rFonts w:ascii="Times New Roman" w:eastAsia="Times New Roman" w:hAnsi="Times New Roman" w:cs="Times New Roman"/>
          <w:b/>
          <w:bCs/>
          <w:color w:val="000000"/>
          <w:sz w:val="24"/>
          <w:szCs w:val="24"/>
          <w:shd w:val="clear" w:color="auto" w:fill="FFFFFF"/>
        </w:rPr>
        <w:t>account;</w:t>
      </w:r>
      <w:proofErr w:type="gramEnd"/>
    </w:p>
    <w:p w14:paraId="5068C140" w14:textId="77777777" w:rsidR="00E930B6" w:rsidRPr="009A0179" w:rsidRDefault="00E930B6" w:rsidP="00E930B6">
      <w:pPr>
        <w:spacing w:after="0" w:line="276" w:lineRule="auto"/>
        <w:ind w:left="810" w:right="-720"/>
        <w:jc w:val="both"/>
        <w:rPr>
          <w:rFonts w:ascii="Times New Roman" w:eastAsia="Times New Roman" w:hAnsi="Times New Roman" w:cs="Times New Roman"/>
          <w:color w:val="000000"/>
          <w:sz w:val="24"/>
          <w:szCs w:val="24"/>
          <w:shd w:val="clear" w:color="auto" w:fill="FFFFFF"/>
        </w:rPr>
      </w:pPr>
      <w:r w:rsidRPr="009A0179">
        <w:rPr>
          <w:rFonts w:ascii="Times New Roman" w:eastAsia="Times New Roman" w:hAnsi="Times New Roman" w:cs="Times New Roman"/>
          <w:color w:val="000000"/>
          <w:sz w:val="24"/>
          <w:szCs w:val="24"/>
          <w:shd w:val="clear" w:color="auto" w:fill="FFFFFF"/>
        </w:rPr>
        <w:t xml:space="preserve">(v) be a registered voter; and </w:t>
      </w:r>
    </w:p>
    <w:p w14:paraId="402F8937" w14:textId="68BDBF00" w:rsidR="00E930B6" w:rsidRPr="009A0179" w:rsidRDefault="00E930B6" w:rsidP="00154A9D">
      <w:pPr>
        <w:spacing w:after="0" w:line="276" w:lineRule="auto"/>
        <w:ind w:left="810" w:right="-720"/>
        <w:jc w:val="both"/>
        <w:rPr>
          <w:rFonts w:ascii="Times New Roman" w:eastAsia="Times New Roman" w:hAnsi="Times New Roman" w:cs="Times New Roman"/>
          <w:color w:val="000000"/>
          <w:sz w:val="24"/>
          <w:szCs w:val="24"/>
          <w:shd w:val="clear" w:color="auto" w:fill="FFFFFF"/>
        </w:rPr>
      </w:pPr>
      <w:r w:rsidRPr="009A0179">
        <w:rPr>
          <w:rFonts w:ascii="Times New Roman" w:eastAsia="Times New Roman" w:hAnsi="Times New Roman" w:cs="Times New Roman"/>
          <w:color w:val="000000"/>
          <w:sz w:val="24"/>
          <w:szCs w:val="24"/>
          <w:shd w:val="clear" w:color="auto" w:fill="FFFFFF"/>
        </w:rPr>
        <w:t xml:space="preserve">(vi) be confirmed by the City Council. </w:t>
      </w:r>
    </w:p>
    <w:p w14:paraId="7AAFDDB7" w14:textId="47E371D1" w:rsidR="00E930B6" w:rsidRPr="009A0179" w:rsidRDefault="00E930B6" w:rsidP="00E930B6">
      <w:pPr>
        <w:spacing w:after="0" w:line="276" w:lineRule="auto"/>
        <w:ind w:right="-720"/>
        <w:jc w:val="both"/>
        <w:rPr>
          <w:rFonts w:ascii="Times New Roman" w:eastAsia="Times New Roman" w:hAnsi="Times New Roman" w:cs="Times New Roman"/>
          <w:color w:val="000000"/>
          <w:sz w:val="24"/>
          <w:szCs w:val="24"/>
          <w:shd w:val="clear" w:color="auto" w:fill="FFFFFF"/>
        </w:rPr>
      </w:pPr>
      <w:r w:rsidRPr="009A0179">
        <w:rPr>
          <w:rFonts w:ascii="Times New Roman" w:eastAsia="Times New Roman" w:hAnsi="Times New Roman" w:cs="Times New Roman"/>
          <w:color w:val="000000"/>
          <w:sz w:val="24"/>
          <w:szCs w:val="24"/>
          <w:shd w:val="clear" w:color="auto" w:fill="FFFFFF"/>
        </w:rPr>
        <w:t>(Emphasis supplied.)</w:t>
      </w:r>
    </w:p>
    <w:p w14:paraId="47D9B469" w14:textId="77777777" w:rsidR="00E930B6" w:rsidRPr="009A0179" w:rsidRDefault="00E930B6" w:rsidP="00E930B6">
      <w:pPr>
        <w:spacing w:after="0" w:line="276" w:lineRule="auto"/>
        <w:jc w:val="both"/>
        <w:rPr>
          <w:rFonts w:ascii="Times New Roman" w:eastAsia="Times New Roman" w:hAnsi="Times New Roman" w:cs="Times New Roman"/>
          <w:color w:val="000000"/>
          <w:sz w:val="24"/>
          <w:szCs w:val="24"/>
          <w:shd w:val="clear" w:color="auto" w:fill="FFFFFF"/>
        </w:rPr>
      </w:pPr>
    </w:p>
    <w:p w14:paraId="2B6DA1B2" w14:textId="77777777" w:rsidR="006E6D18" w:rsidRPr="009A0179" w:rsidRDefault="00E930B6" w:rsidP="004B0D34">
      <w:pPr>
        <w:spacing w:after="0" w:line="276" w:lineRule="auto"/>
        <w:jc w:val="both"/>
        <w:rPr>
          <w:rFonts w:ascii="Times New Roman" w:eastAsia="Times New Roman" w:hAnsi="Times New Roman" w:cs="Times New Roman"/>
          <w:bCs/>
          <w:color w:val="000000"/>
          <w:sz w:val="24"/>
          <w:szCs w:val="24"/>
          <w:shd w:val="clear" w:color="auto" w:fill="FFFFFF"/>
        </w:rPr>
      </w:pPr>
      <w:r w:rsidRPr="009A0179">
        <w:rPr>
          <w:rFonts w:ascii="Times New Roman" w:eastAsia="Times New Roman" w:hAnsi="Times New Roman" w:cs="Times New Roman"/>
          <w:bCs/>
          <w:color w:val="000000"/>
          <w:sz w:val="24"/>
          <w:szCs w:val="24"/>
          <w:shd w:val="clear" w:color="auto" w:fill="FFFFFF"/>
        </w:rPr>
        <w:t>Even if an “interest” under the Ethics Law could be construed based on a candidate’s, campaign chair’s</w:t>
      </w:r>
      <w:r w:rsidR="00CF1477" w:rsidRPr="009A0179">
        <w:rPr>
          <w:rFonts w:ascii="Times New Roman" w:eastAsia="Times New Roman" w:hAnsi="Times New Roman" w:cs="Times New Roman"/>
          <w:bCs/>
          <w:color w:val="000000"/>
          <w:sz w:val="24"/>
          <w:szCs w:val="24"/>
          <w:shd w:val="clear" w:color="auto" w:fill="FFFFFF"/>
        </w:rPr>
        <w:t>,</w:t>
      </w:r>
      <w:r w:rsidRPr="009A0179">
        <w:rPr>
          <w:rFonts w:ascii="Times New Roman" w:eastAsia="Times New Roman" w:hAnsi="Times New Roman" w:cs="Times New Roman"/>
          <w:bCs/>
          <w:color w:val="000000"/>
          <w:sz w:val="24"/>
          <w:szCs w:val="24"/>
          <w:shd w:val="clear" w:color="auto" w:fill="FFFFFF"/>
        </w:rPr>
        <w:t xml:space="preserve"> or treasurer’s relationship to and with the underlying campaign, the express exclusion of Commissioners from holding such positions contemporaneously with their role on the Commission pr</w:t>
      </w:r>
      <w:r w:rsidR="00A94812" w:rsidRPr="009A0179">
        <w:rPr>
          <w:rFonts w:ascii="Times New Roman" w:eastAsia="Times New Roman" w:hAnsi="Times New Roman" w:cs="Times New Roman"/>
          <w:bCs/>
          <w:color w:val="000000"/>
          <w:sz w:val="24"/>
          <w:szCs w:val="24"/>
          <w:shd w:val="clear" w:color="auto" w:fill="FFFFFF"/>
        </w:rPr>
        <w:t>ecludes</w:t>
      </w:r>
      <w:r w:rsidRPr="009A0179">
        <w:rPr>
          <w:rFonts w:ascii="Times New Roman" w:eastAsia="Times New Roman" w:hAnsi="Times New Roman" w:cs="Times New Roman"/>
          <w:bCs/>
          <w:color w:val="000000"/>
          <w:sz w:val="24"/>
          <w:szCs w:val="24"/>
          <w:shd w:val="clear" w:color="auto" w:fill="FFFFFF"/>
        </w:rPr>
        <w:t xml:space="preserve"> them from holding such “interest”.</w:t>
      </w:r>
      <w:r w:rsidR="004B0D34" w:rsidRPr="009A0179">
        <w:rPr>
          <w:rFonts w:ascii="Times New Roman" w:eastAsia="Times New Roman" w:hAnsi="Times New Roman" w:cs="Times New Roman"/>
          <w:bCs/>
          <w:color w:val="000000"/>
          <w:sz w:val="24"/>
          <w:szCs w:val="24"/>
          <w:shd w:val="clear" w:color="auto" w:fill="FFFFFF"/>
        </w:rPr>
        <w:t xml:space="preserve"> </w:t>
      </w:r>
    </w:p>
    <w:p w14:paraId="40E97DC0" w14:textId="77777777" w:rsidR="006E6D18" w:rsidRPr="009A0179" w:rsidRDefault="006E6D18" w:rsidP="004B0D34">
      <w:pPr>
        <w:spacing w:after="0" w:line="276" w:lineRule="auto"/>
        <w:jc w:val="both"/>
        <w:rPr>
          <w:rFonts w:ascii="Times New Roman" w:eastAsia="Times New Roman" w:hAnsi="Times New Roman" w:cs="Times New Roman"/>
          <w:bCs/>
          <w:color w:val="000000"/>
          <w:sz w:val="24"/>
          <w:szCs w:val="24"/>
          <w:shd w:val="clear" w:color="auto" w:fill="FFFFFF"/>
        </w:rPr>
      </w:pPr>
    </w:p>
    <w:p w14:paraId="49986CDA" w14:textId="2F887692" w:rsidR="00CF1477" w:rsidRPr="009A0179" w:rsidRDefault="006E6D18" w:rsidP="004B0D34">
      <w:pPr>
        <w:spacing w:after="0" w:line="276" w:lineRule="auto"/>
        <w:jc w:val="both"/>
        <w:rPr>
          <w:rFonts w:ascii="Times New Roman" w:hAnsi="Times New Roman" w:cs="Times New Roman"/>
          <w:sz w:val="24"/>
          <w:szCs w:val="24"/>
        </w:rPr>
      </w:pPr>
      <w:r w:rsidRPr="009A0179">
        <w:rPr>
          <w:rFonts w:ascii="Times New Roman" w:eastAsia="Times New Roman" w:hAnsi="Times New Roman" w:cs="Times New Roman"/>
          <w:bCs/>
          <w:color w:val="000000"/>
          <w:sz w:val="24"/>
          <w:szCs w:val="24"/>
          <w:shd w:val="clear" w:color="auto" w:fill="FFFFFF"/>
        </w:rPr>
        <w:t>Because</w:t>
      </w:r>
      <w:r w:rsidR="002E18FC">
        <w:rPr>
          <w:rFonts w:ascii="Times New Roman" w:eastAsia="Times New Roman" w:hAnsi="Times New Roman" w:cs="Times New Roman"/>
          <w:bCs/>
          <w:color w:val="000000"/>
          <w:sz w:val="24"/>
          <w:szCs w:val="24"/>
          <w:shd w:val="clear" w:color="auto" w:fill="FFFFFF"/>
        </w:rPr>
        <w:t>,</w:t>
      </w:r>
      <w:r w:rsidRPr="009A0179">
        <w:rPr>
          <w:rFonts w:ascii="Times New Roman" w:eastAsia="Times New Roman" w:hAnsi="Times New Roman" w:cs="Times New Roman"/>
          <w:bCs/>
          <w:color w:val="000000"/>
          <w:sz w:val="24"/>
          <w:szCs w:val="24"/>
          <w:shd w:val="clear" w:color="auto" w:fill="FFFFFF"/>
        </w:rPr>
        <w:t xml:space="preserve"> </w:t>
      </w:r>
      <w:r w:rsidR="002E18FC" w:rsidRPr="00F24B3E">
        <w:rPr>
          <w:rFonts w:ascii="Times New Roman" w:hAnsi="Times New Roman" w:cs="Times New Roman"/>
          <w:sz w:val="24"/>
          <w:szCs w:val="24"/>
        </w:rPr>
        <w:t>for purposes of the Ethics Law</w:t>
      </w:r>
      <w:r w:rsidR="002E18FC">
        <w:rPr>
          <w:rFonts w:ascii="Times New Roman" w:hAnsi="Times New Roman" w:cs="Times New Roman"/>
          <w:sz w:val="24"/>
          <w:szCs w:val="24"/>
        </w:rPr>
        <w:t>,</w:t>
      </w:r>
      <w:r w:rsidR="002E18FC" w:rsidRPr="002E18FC" w:rsidDel="00D24CCE">
        <w:rPr>
          <w:rFonts w:ascii="Times New Roman" w:hAnsi="Times New Roman" w:cs="Times New Roman"/>
          <w:sz w:val="24"/>
          <w:szCs w:val="24"/>
        </w:rPr>
        <w:t xml:space="preserve"> </w:t>
      </w:r>
      <w:r w:rsidR="00F7092C" w:rsidRPr="009A0179">
        <w:rPr>
          <w:rFonts w:ascii="Times New Roman" w:hAnsi="Times New Roman" w:cs="Times New Roman"/>
          <w:sz w:val="24"/>
          <w:szCs w:val="24"/>
        </w:rPr>
        <w:t xml:space="preserve">a </w:t>
      </w:r>
      <w:r w:rsidR="00021E29" w:rsidRPr="009A0179">
        <w:rPr>
          <w:rFonts w:ascii="Times New Roman" w:hAnsi="Times New Roman" w:cs="Times New Roman"/>
          <w:sz w:val="24"/>
          <w:szCs w:val="24"/>
        </w:rPr>
        <w:t xml:space="preserve">donor </w:t>
      </w:r>
      <w:r w:rsidR="00D24CCE" w:rsidRPr="009A0179">
        <w:rPr>
          <w:rFonts w:ascii="Times New Roman" w:hAnsi="Times New Roman" w:cs="Times New Roman"/>
          <w:sz w:val="24"/>
          <w:szCs w:val="24"/>
        </w:rPr>
        <w:t>has no</w:t>
      </w:r>
      <w:r w:rsidR="00021E29" w:rsidRPr="009A0179">
        <w:rPr>
          <w:rFonts w:ascii="Times New Roman" w:hAnsi="Times New Roman" w:cs="Times New Roman"/>
          <w:sz w:val="24"/>
          <w:szCs w:val="24"/>
        </w:rPr>
        <w:t xml:space="preserve"> cognizable private “financial interest” in that campaign, the Ethics Board determines that neither monetary nor in-kind campaign donations constitute a conflict under Art. 8, § 6-6</w:t>
      </w:r>
      <w:r w:rsidR="001E7BAB" w:rsidRPr="009A0179">
        <w:rPr>
          <w:sz w:val="24"/>
          <w:szCs w:val="24"/>
        </w:rPr>
        <w:t xml:space="preserve"> </w:t>
      </w:r>
      <w:r w:rsidR="001E7BAB" w:rsidRPr="009A0179">
        <w:rPr>
          <w:rFonts w:ascii="Times New Roman" w:hAnsi="Times New Roman" w:cs="Times New Roman"/>
          <w:sz w:val="24"/>
          <w:szCs w:val="24"/>
        </w:rPr>
        <w:t>{Prohibited participation}</w:t>
      </w:r>
      <w:r w:rsidR="00021E29" w:rsidRPr="009A0179">
        <w:rPr>
          <w:rFonts w:ascii="Times New Roman" w:hAnsi="Times New Roman" w:cs="Times New Roman"/>
          <w:sz w:val="24"/>
          <w:szCs w:val="24"/>
        </w:rPr>
        <w:t>.</w:t>
      </w:r>
      <w:bookmarkStart w:id="3" w:name="_Hlk158640785"/>
    </w:p>
    <w:p w14:paraId="44D8DFA8" w14:textId="77777777" w:rsidR="00301BB6" w:rsidRPr="004B0D34" w:rsidRDefault="00301BB6" w:rsidP="004B0D34">
      <w:pPr>
        <w:spacing w:after="0" w:line="276" w:lineRule="auto"/>
        <w:jc w:val="both"/>
        <w:rPr>
          <w:rFonts w:ascii="Times New Roman" w:eastAsia="Times New Roman" w:hAnsi="Times New Roman" w:cs="Times New Roman"/>
          <w:bCs/>
          <w:color w:val="000000"/>
          <w:shd w:val="clear" w:color="auto" w:fill="FFFFFF"/>
        </w:rPr>
      </w:pPr>
    </w:p>
    <w:p w14:paraId="4C6BB6DE" w14:textId="795EFC9D" w:rsidR="00E74FD6" w:rsidRPr="009A0179" w:rsidRDefault="00301BB6" w:rsidP="009A0179">
      <w:pPr>
        <w:pStyle w:val="ListParagraph"/>
        <w:numPr>
          <w:ilvl w:val="0"/>
          <w:numId w:val="20"/>
        </w:numPr>
        <w:spacing w:after="0" w:line="276" w:lineRule="auto"/>
        <w:ind w:hanging="1080"/>
        <w:jc w:val="both"/>
        <w:rPr>
          <w:rFonts w:ascii="Times New Roman" w:eastAsia="Times New Roman" w:hAnsi="Times New Roman" w:cs="Times New Roman"/>
          <w:b/>
          <w:color w:val="000000"/>
          <w:sz w:val="24"/>
          <w:szCs w:val="24"/>
          <w:shd w:val="clear" w:color="auto" w:fill="FFFFFF"/>
        </w:rPr>
      </w:pPr>
      <w:bookmarkStart w:id="4" w:name="_Hlk160710055"/>
      <w:r w:rsidRPr="009A0179">
        <w:rPr>
          <w:rFonts w:ascii="Times New Roman" w:eastAsia="Times New Roman" w:hAnsi="Times New Roman" w:cs="Times New Roman"/>
          <w:b/>
          <w:color w:val="000000"/>
          <w:sz w:val="24"/>
          <w:szCs w:val="24"/>
          <w:u w:val="single"/>
          <w:shd w:val="clear" w:color="auto" w:fill="FFFFFF"/>
        </w:rPr>
        <w:t>§ 6-11</w:t>
      </w:r>
      <w:bookmarkEnd w:id="4"/>
      <w:r w:rsidRPr="009A0179">
        <w:rPr>
          <w:rFonts w:ascii="Times New Roman" w:eastAsia="Times New Roman" w:hAnsi="Times New Roman" w:cs="Times New Roman"/>
          <w:b/>
          <w:color w:val="000000"/>
          <w:sz w:val="24"/>
          <w:szCs w:val="24"/>
          <w:u w:val="single"/>
          <w:shd w:val="clear" w:color="auto" w:fill="FFFFFF"/>
        </w:rPr>
        <w:t>.  Prohibited employment, interests</w:t>
      </w:r>
      <w:r w:rsidRPr="009A0179">
        <w:rPr>
          <w:rFonts w:ascii="Times New Roman" w:eastAsia="Times New Roman" w:hAnsi="Times New Roman" w:cs="Times New Roman"/>
          <w:b/>
          <w:color w:val="000000"/>
          <w:sz w:val="24"/>
          <w:szCs w:val="24"/>
          <w:shd w:val="clear" w:color="auto" w:fill="FFFFFF"/>
        </w:rPr>
        <w:t>.</w:t>
      </w:r>
      <w:bookmarkEnd w:id="3"/>
    </w:p>
    <w:p w14:paraId="6122A2F6" w14:textId="77777777" w:rsidR="00E74FD6" w:rsidRPr="009A0179" w:rsidRDefault="00E74FD6" w:rsidP="00E74FD6">
      <w:pPr>
        <w:spacing w:after="0" w:line="276" w:lineRule="auto"/>
        <w:ind w:left="360"/>
        <w:jc w:val="both"/>
        <w:rPr>
          <w:rFonts w:ascii="Times New Roman" w:hAnsi="Times New Roman" w:cs="Times New Roman"/>
          <w:sz w:val="24"/>
          <w:szCs w:val="24"/>
        </w:rPr>
      </w:pPr>
    </w:p>
    <w:p w14:paraId="019B4DA9" w14:textId="0B5777D7" w:rsidR="00D24CCE" w:rsidRPr="009A0179" w:rsidRDefault="00D24CCE" w:rsidP="00D24CCE">
      <w:pPr>
        <w:spacing w:after="0" w:line="276" w:lineRule="auto"/>
        <w:jc w:val="both"/>
        <w:rPr>
          <w:rFonts w:ascii="Times New Roman" w:hAnsi="Times New Roman" w:cs="Times New Roman"/>
          <w:sz w:val="24"/>
          <w:szCs w:val="24"/>
        </w:rPr>
      </w:pPr>
      <w:r w:rsidRPr="009A0179">
        <w:rPr>
          <w:rFonts w:ascii="Times New Roman" w:hAnsi="Times New Roman" w:cs="Times New Roman"/>
          <w:sz w:val="24"/>
          <w:szCs w:val="24"/>
        </w:rPr>
        <w:t>Section 6-11 prohibits a Commissioner from  (1) being employed by or having a financial interest in any person that is subject to the authority of that public servant or of the City agency with which the public servant is affiliated; (2) being employed by or having a financial interest in any person that is negotiating or, under certain conditions, has entered into a contract with the City or an agency of the City, and from</w:t>
      </w:r>
      <w:r w:rsidR="002E18FC" w:rsidRPr="009A0179">
        <w:rPr>
          <w:rFonts w:ascii="Times New Roman" w:hAnsi="Times New Roman" w:cs="Times New Roman"/>
          <w:sz w:val="24"/>
          <w:szCs w:val="24"/>
        </w:rPr>
        <w:t xml:space="preserve"> </w:t>
      </w:r>
      <w:r w:rsidRPr="009A0179">
        <w:rPr>
          <w:rFonts w:ascii="Times New Roman" w:hAnsi="Times New Roman" w:cs="Times New Roman"/>
          <w:sz w:val="24"/>
          <w:szCs w:val="24"/>
        </w:rPr>
        <w:t>(3) holding any other employment relationship that would impair the impartiality and independent judgment of the public servant.</w:t>
      </w:r>
      <w:r w:rsidR="00F7092C" w:rsidRPr="009A0179">
        <w:rPr>
          <w:rFonts w:ascii="Times New Roman" w:hAnsi="Times New Roman" w:cs="Times New Roman"/>
          <w:sz w:val="24"/>
          <w:szCs w:val="24"/>
        </w:rPr>
        <w:t xml:space="preserve"> </w:t>
      </w:r>
      <w:r w:rsidR="00F7092C" w:rsidRPr="009A0179">
        <w:rPr>
          <w:rStyle w:val="EndnoteReference"/>
          <w:rFonts w:ascii="Times New Roman" w:eastAsia="Times New Roman" w:hAnsi="Times New Roman" w:cs="Times New Roman"/>
          <w:b/>
          <w:color w:val="000000"/>
          <w:sz w:val="24"/>
          <w:szCs w:val="24"/>
          <w:shd w:val="clear" w:color="auto" w:fill="FFFFFF"/>
        </w:rPr>
        <w:endnoteReference w:id="2"/>
      </w:r>
    </w:p>
    <w:p w14:paraId="477FBE8E" w14:textId="77777777" w:rsidR="00D24CCE" w:rsidRPr="009A0179" w:rsidRDefault="00D24CCE" w:rsidP="00D24CCE">
      <w:pPr>
        <w:spacing w:after="0" w:line="276" w:lineRule="auto"/>
        <w:jc w:val="both"/>
        <w:rPr>
          <w:rFonts w:ascii="Times New Roman" w:hAnsi="Times New Roman" w:cs="Times New Roman"/>
          <w:sz w:val="24"/>
          <w:szCs w:val="24"/>
        </w:rPr>
      </w:pPr>
    </w:p>
    <w:p w14:paraId="71C1FB99" w14:textId="1B18220B" w:rsidR="00A94812" w:rsidRPr="009A0179" w:rsidRDefault="00331149" w:rsidP="00427A66">
      <w:pPr>
        <w:spacing w:after="0" w:line="276" w:lineRule="auto"/>
        <w:jc w:val="both"/>
        <w:rPr>
          <w:rFonts w:ascii="Times New Roman" w:hAnsi="Times New Roman" w:cs="Times New Roman"/>
          <w:sz w:val="24"/>
          <w:szCs w:val="24"/>
        </w:rPr>
      </w:pPr>
      <w:r w:rsidRPr="009A0179">
        <w:rPr>
          <w:rFonts w:ascii="Times New Roman" w:hAnsi="Times New Roman" w:cs="Times New Roman"/>
          <w:sz w:val="24"/>
          <w:szCs w:val="24"/>
        </w:rPr>
        <w:t xml:space="preserve">A Commission member contemplating “employment” </w:t>
      </w:r>
      <w:r w:rsidR="008F7CCB" w:rsidRPr="009A0179">
        <w:rPr>
          <w:rFonts w:ascii="Times New Roman" w:hAnsi="Times New Roman" w:cs="Times New Roman"/>
          <w:sz w:val="24"/>
          <w:szCs w:val="24"/>
        </w:rPr>
        <w:t xml:space="preserve">by a campaign applying for FEF public funding (e.g., by </w:t>
      </w:r>
      <w:r w:rsidR="006B1D51" w:rsidRPr="009A0179">
        <w:rPr>
          <w:rFonts w:ascii="Times New Roman" w:hAnsi="Times New Roman" w:cs="Times New Roman"/>
          <w:sz w:val="24"/>
          <w:szCs w:val="24"/>
        </w:rPr>
        <w:t>working in a compensated position</w:t>
      </w:r>
      <w:r w:rsidR="008F7CCB" w:rsidRPr="009A0179">
        <w:rPr>
          <w:rFonts w:ascii="Times New Roman" w:hAnsi="Times New Roman" w:cs="Times New Roman"/>
          <w:sz w:val="24"/>
          <w:szCs w:val="24"/>
        </w:rPr>
        <w:t xml:space="preserve">) </w:t>
      </w:r>
      <w:r w:rsidRPr="009A0179">
        <w:rPr>
          <w:rFonts w:ascii="Times New Roman" w:hAnsi="Times New Roman" w:cs="Times New Roman"/>
          <w:sz w:val="24"/>
          <w:szCs w:val="24"/>
        </w:rPr>
        <w:t>may raise an apparent conflict under § 6-11</w:t>
      </w:r>
      <w:r w:rsidR="008F7CCB" w:rsidRPr="009A0179">
        <w:rPr>
          <w:rFonts w:ascii="Times New Roman" w:hAnsi="Times New Roman" w:cs="Times New Roman"/>
          <w:sz w:val="24"/>
          <w:szCs w:val="24"/>
        </w:rPr>
        <w:t xml:space="preserve">. </w:t>
      </w:r>
    </w:p>
    <w:p w14:paraId="18EEFD99" w14:textId="77777777" w:rsidR="00A94812" w:rsidRPr="009A0179" w:rsidRDefault="00A94812" w:rsidP="00427A66">
      <w:pPr>
        <w:spacing w:after="0" w:line="276" w:lineRule="auto"/>
        <w:jc w:val="both"/>
        <w:rPr>
          <w:rFonts w:ascii="Times New Roman" w:hAnsi="Times New Roman" w:cs="Times New Roman"/>
          <w:sz w:val="24"/>
          <w:szCs w:val="24"/>
        </w:rPr>
      </w:pPr>
    </w:p>
    <w:p w14:paraId="6EEFEDE5" w14:textId="56DF97AD" w:rsidR="00427A66" w:rsidRPr="009A0179" w:rsidRDefault="008F7CCB" w:rsidP="00427A66">
      <w:pPr>
        <w:spacing w:after="0" w:line="276" w:lineRule="auto"/>
        <w:jc w:val="both"/>
        <w:rPr>
          <w:rFonts w:ascii="Times New Roman" w:eastAsia="Times New Roman" w:hAnsi="Times New Roman" w:cs="Times New Roman"/>
          <w:b/>
          <w:color w:val="000000"/>
          <w:sz w:val="24"/>
          <w:szCs w:val="24"/>
          <w:highlight w:val="yellow"/>
          <w:shd w:val="clear" w:color="auto" w:fill="FFFFFF"/>
        </w:rPr>
      </w:pPr>
      <w:r w:rsidRPr="009A0179">
        <w:rPr>
          <w:rFonts w:ascii="Times New Roman" w:hAnsi="Times New Roman" w:cs="Times New Roman"/>
          <w:sz w:val="24"/>
          <w:szCs w:val="24"/>
        </w:rPr>
        <w:t xml:space="preserve">While </w:t>
      </w:r>
      <w:r w:rsidR="00331149" w:rsidRPr="009A0179">
        <w:rPr>
          <w:rFonts w:ascii="Times New Roman" w:hAnsi="Times New Roman" w:cs="Times New Roman"/>
          <w:sz w:val="24"/>
          <w:szCs w:val="24"/>
        </w:rPr>
        <w:t xml:space="preserve">contributions of </w:t>
      </w:r>
      <w:r w:rsidR="00BE14A8" w:rsidRPr="009A0179">
        <w:rPr>
          <w:rFonts w:ascii="Times New Roman" w:hAnsi="Times New Roman" w:cs="Times New Roman"/>
          <w:sz w:val="24"/>
          <w:szCs w:val="24"/>
        </w:rPr>
        <w:t xml:space="preserve">unpaid </w:t>
      </w:r>
      <w:r w:rsidR="00331149" w:rsidRPr="009A0179">
        <w:rPr>
          <w:rFonts w:ascii="Times New Roman" w:hAnsi="Times New Roman" w:cs="Times New Roman"/>
          <w:sz w:val="24"/>
          <w:szCs w:val="24"/>
        </w:rPr>
        <w:t xml:space="preserve">personal services to a campaign are protected political speech </w:t>
      </w:r>
      <w:r w:rsidR="00BE14A8" w:rsidRPr="009A0179">
        <w:rPr>
          <w:rFonts w:ascii="Times New Roman" w:hAnsi="Times New Roman" w:cs="Times New Roman"/>
          <w:sz w:val="24"/>
          <w:szCs w:val="24"/>
        </w:rPr>
        <w:t xml:space="preserve">and do not create an economic interest in the campaign entity for purposes of § 6-6 </w:t>
      </w:r>
      <w:r w:rsidR="00331149" w:rsidRPr="009A0179">
        <w:rPr>
          <w:rFonts w:ascii="Times New Roman" w:hAnsi="Times New Roman" w:cs="Times New Roman"/>
          <w:sz w:val="24"/>
          <w:szCs w:val="24"/>
        </w:rPr>
        <w:t>(</w:t>
      </w:r>
      <w:r w:rsidR="00331149" w:rsidRPr="009A0179">
        <w:rPr>
          <w:rFonts w:ascii="Times New Roman" w:hAnsi="Times New Roman" w:cs="Times New Roman"/>
          <w:i/>
          <w:iCs/>
          <w:sz w:val="24"/>
          <w:szCs w:val="24"/>
        </w:rPr>
        <w:t>see</w:t>
      </w:r>
      <w:r w:rsidR="00331149" w:rsidRPr="009A0179">
        <w:rPr>
          <w:rFonts w:ascii="Times New Roman" w:hAnsi="Times New Roman" w:cs="Times New Roman"/>
          <w:sz w:val="24"/>
          <w:szCs w:val="24"/>
        </w:rPr>
        <w:t>,</w:t>
      </w:r>
      <w:r w:rsidR="00331149" w:rsidRPr="009A0179">
        <w:rPr>
          <w:rFonts w:ascii="Times New Roman" w:hAnsi="Times New Roman" w:cs="Times New Roman"/>
          <w:i/>
          <w:iCs/>
          <w:sz w:val="24"/>
          <w:szCs w:val="24"/>
        </w:rPr>
        <w:t xml:space="preserve"> </w:t>
      </w:r>
      <w:r w:rsidRPr="009A0179">
        <w:rPr>
          <w:rFonts w:ascii="Times New Roman" w:hAnsi="Times New Roman" w:cs="Times New Roman"/>
          <w:i/>
          <w:iCs/>
          <w:sz w:val="24"/>
          <w:szCs w:val="24"/>
        </w:rPr>
        <w:t>supra</w:t>
      </w:r>
      <w:r w:rsidR="0015461B" w:rsidRPr="009A0179">
        <w:rPr>
          <w:rFonts w:ascii="Times New Roman" w:hAnsi="Times New Roman" w:cs="Times New Roman"/>
          <w:sz w:val="24"/>
          <w:szCs w:val="24"/>
        </w:rPr>
        <w:t>)</w:t>
      </w:r>
      <w:r w:rsidR="0088620E" w:rsidRPr="009A0179">
        <w:rPr>
          <w:rFonts w:ascii="Times New Roman" w:hAnsi="Times New Roman" w:cs="Times New Roman"/>
          <w:sz w:val="24"/>
          <w:szCs w:val="24"/>
        </w:rPr>
        <w:t xml:space="preserve">, </w:t>
      </w:r>
      <w:r w:rsidR="00331149" w:rsidRPr="009A0179">
        <w:rPr>
          <w:rFonts w:ascii="Times New Roman" w:hAnsi="Times New Roman" w:cs="Times New Roman"/>
          <w:sz w:val="24"/>
          <w:szCs w:val="24"/>
        </w:rPr>
        <w:t xml:space="preserve">the </w:t>
      </w:r>
      <w:r w:rsidR="00331149" w:rsidRPr="009A0179">
        <w:rPr>
          <w:rFonts w:ascii="Times New Roman" w:hAnsi="Times New Roman" w:cs="Times New Roman"/>
          <w:sz w:val="24"/>
          <w:szCs w:val="24"/>
        </w:rPr>
        <w:lastRenderedPageBreak/>
        <w:t xml:space="preserve">Commission could be seen as having an "approval" role in </w:t>
      </w:r>
      <w:r w:rsidR="0088620E" w:rsidRPr="009A0179">
        <w:rPr>
          <w:rFonts w:ascii="Times New Roman" w:hAnsi="Times New Roman" w:cs="Times New Roman"/>
          <w:sz w:val="24"/>
          <w:szCs w:val="24"/>
        </w:rPr>
        <w:t>disbursing</w:t>
      </w:r>
      <w:r w:rsidR="00331149" w:rsidRPr="009A0179">
        <w:rPr>
          <w:rFonts w:ascii="Times New Roman" w:hAnsi="Times New Roman" w:cs="Times New Roman"/>
          <w:sz w:val="24"/>
          <w:szCs w:val="24"/>
        </w:rPr>
        <w:t xml:space="preserve"> funds under the Charter language</w:t>
      </w:r>
      <w:r w:rsidR="00BE14A8" w:rsidRPr="009A0179">
        <w:rPr>
          <w:rFonts w:ascii="Times New Roman" w:hAnsi="Times New Roman" w:cs="Times New Roman"/>
          <w:sz w:val="24"/>
          <w:szCs w:val="24"/>
        </w:rPr>
        <w:t xml:space="preserve"> such that a </w:t>
      </w:r>
      <w:proofErr w:type="gramStart"/>
      <w:r w:rsidR="00BE14A8" w:rsidRPr="009A0179">
        <w:rPr>
          <w:rFonts w:ascii="Times New Roman" w:hAnsi="Times New Roman" w:cs="Times New Roman"/>
          <w:sz w:val="24"/>
          <w:szCs w:val="24"/>
        </w:rPr>
        <w:t>Commissioner’s</w:t>
      </w:r>
      <w:proofErr w:type="gramEnd"/>
      <w:r w:rsidR="00BE14A8" w:rsidRPr="009A0179">
        <w:rPr>
          <w:rFonts w:ascii="Times New Roman" w:hAnsi="Times New Roman" w:cs="Times New Roman"/>
          <w:sz w:val="24"/>
          <w:szCs w:val="24"/>
        </w:rPr>
        <w:t xml:space="preserve"> employment by a campaign violates § 6-11</w:t>
      </w:r>
      <w:r w:rsidR="00E74FD6" w:rsidRPr="009A0179">
        <w:rPr>
          <w:rFonts w:ascii="Times New Roman" w:hAnsi="Times New Roman" w:cs="Times New Roman"/>
          <w:sz w:val="24"/>
          <w:szCs w:val="24"/>
        </w:rPr>
        <w:t xml:space="preserve">. </w:t>
      </w:r>
      <w:r w:rsidR="00BE14A8" w:rsidRPr="009A0179">
        <w:rPr>
          <w:rFonts w:ascii="Times New Roman" w:hAnsi="Times New Roman" w:cs="Times New Roman"/>
          <w:sz w:val="24"/>
          <w:szCs w:val="24"/>
        </w:rPr>
        <w:t>That is, a</w:t>
      </w:r>
      <w:r w:rsidR="00E74FD6" w:rsidRPr="009A0179">
        <w:rPr>
          <w:rFonts w:ascii="Times New Roman" w:hAnsi="Times New Roman" w:cs="Times New Roman"/>
          <w:sz w:val="24"/>
          <w:szCs w:val="24"/>
        </w:rPr>
        <w:t xml:space="preserve"> </w:t>
      </w:r>
      <w:proofErr w:type="gramStart"/>
      <w:r w:rsidR="00E74FD6" w:rsidRPr="009A0179">
        <w:rPr>
          <w:rFonts w:ascii="Times New Roman" w:hAnsi="Times New Roman" w:cs="Times New Roman"/>
          <w:sz w:val="24"/>
          <w:szCs w:val="24"/>
        </w:rPr>
        <w:t>Commissioner</w:t>
      </w:r>
      <w:proofErr w:type="gramEnd"/>
      <w:r w:rsidR="00E74FD6" w:rsidRPr="009A0179">
        <w:rPr>
          <w:rFonts w:ascii="Times New Roman" w:hAnsi="Times New Roman" w:cs="Times New Roman"/>
          <w:sz w:val="24"/>
          <w:szCs w:val="24"/>
        </w:rPr>
        <w:t xml:space="preserve"> may </w:t>
      </w:r>
      <w:r w:rsidR="00A20D9A" w:rsidRPr="009A0179">
        <w:rPr>
          <w:rFonts w:ascii="Times New Roman" w:hAnsi="Times New Roman" w:cs="Times New Roman"/>
          <w:sz w:val="24"/>
          <w:szCs w:val="24"/>
        </w:rPr>
        <w:t>appear to be vested with</w:t>
      </w:r>
      <w:r w:rsidR="00E74FD6" w:rsidRPr="009A0179">
        <w:rPr>
          <w:rFonts w:ascii="Times New Roman" w:hAnsi="Times New Roman" w:cs="Times New Roman"/>
          <w:sz w:val="24"/>
          <w:szCs w:val="24"/>
        </w:rPr>
        <w:t xml:space="preserve"> some regulatory authority over how </w:t>
      </w:r>
      <w:r w:rsidR="00BE14A8" w:rsidRPr="009A0179">
        <w:rPr>
          <w:rFonts w:ascii="Times New Roman" w:hAnsi="Times New Roman" w:cs="Times New Roman"/>
          <w:sz w:val="24"/>
          <w:szCs w:val="24"/>
        </w:rPr>
        <w:t xml:space="preserve">public </w:t>
      </w:r>
      <w:r w:rsidR="00E74FD6" w:rsidRPr="009A0179">
        <w:rPr>
          <w:rFonts w:ascii="Times New Roman" w:hAnsi="Times New Roman" w:cs="Times New Roman"/>
          <w:sz w:val="24"/>
          <w:szCs w:val="24"/>
        </w:rPr>
        <w:t xml:space="preserve">campaign funds are </w:t>
      </w:r>
      <w:r w:rsidR="00BE14A8" w:rsidRPr="009A0179">
        <w:rPr>
          <w:rFonts w:ascii="Times New Roman" w:hAnsi="Times New Roman" w:cs="Times New Roman"/>
          <w:sz w:val="24"/>
          <w:szCs w:val="24"/>
        </w:rPr>
        <w:t xml:space="preserve">allocated </w:t>
      </w:r>
      <w:r w:rsidR="00E74FD6" w:rsidRPr="009A0179">
        <w:rPr>
          <w:rFonts w:ascii="Times New Roman" w:hAnsi="Times New Roman" w:cs="Times New Roman"/>
          <w:sz w:val="24"/>
          <w:szCs w:val="24"/>
        </w:rPr>
        <w:t>and whether and when public funds are disbursed to a candidate’s campaign, creating an impermissible conflict under</w:t>
      </w:r>
      <w:r w:rsidR="00427A66" w:rsidRPr="009A0179">
        <w:rPr>
          <w:rFonts w:ascii="Times New Roman" w:hAnsi="Times New Roman" w:cs="Times New Roman"/>
          <w:sz w:val="24"/>
          <w:szCs w:val="24"/>
        </w:rPr>
        <w:t xml:space="preserve"> the plain language of </w:t>
      </w:r>
      <w:r w:rsidR="00E74FD6" w:rsidRPr="009A0179">
        <w:rPr>
          <w:rFonts w:ascii="Times New Roman" w:hAnsi="Times New Roman" w:cs="Times New Roman"/>
          <w:sz w:val="24"/>
          <w:szCs w:val="24"/>
        </w:rPr>
        <w:t>§ 6-11 (1) and (3)</w:t>
      </w:r>
      <w:r w:rsidR="00BE14A8" w:rsidRPr="009A0179">
        <w:rPr>
          <w:rFonts w:ascii="Times New Roman" w:hAnsi="Times New Roman" w:cs="Times New Roman"/>
          <w:sz w:val="24"/>
          <w:szCs w:val="24"/>
        </w:rPr>
        <w:t xml:space="preserve"> if that Commissioner was employed by the campaign entity receiving FEF funds</w:t>
      </w:r>
      <w:r w:rsidR="00427A66" w:rsidRPr="009A0179">
        <w:rPr>
          <w:rFonts w:ascii="Times New Roman" w:hAnsi="Times New Roman" w:cs="Times New Roman"/>
          <w:sz w:val="24"/>
          <w:szCs w:val="24"/>
        </w:rPr>
        <w:t>.</w:t>
      </w:r>
    </w:p>
    <w:p w14:paraId="5029F7F1" w14:textId="77777777" w:rsidR="00D30A85" w:rsidRPr="009A0179" w:rsidRDefault="00D30A85" w:rsidP="00427A66">
      <w:pPr>
        <w:spacing w:after="0" w:line="276" w:lineRule="auto"/>
        <w:jc w:val="both"/>
        <w:rPr>
          <w:rFonts w:ascii="Times New Roman" w:eastAsia="Times New Roman" w:hAnsi="Times New Roman" w:cs="Times New Roman"/>
          <w:b/>
          <w:color w:val="000000"/>
          <w:sz w:val="24"/>
          <w:szCs w:val="24"/>
          <w:highlight w:val="yellow"/>
          <w:shd w:val="clear" w:color="auto" w:fill="FFFFFF"/>
        </w:rPr>
      </w:pPr>
    </w:p>
    <w:p w14:paraId="3D4EE627" w14:textId="33AC2E05" w:rsidR="00BB40E3" w:rsidRPr="009A0179" w:rsidRDefault="00D42358" w:rsidP="00204072">
      <w:pPr>
        <w:jc w:val="both"/>
        <w:rPr>
          <w:rFonts w:ascii="Times New Roman" w:hAnsi="Times New Roman" w:cs="Times New Roman"/>
          <w:sz w:val="24"/>
          <w:szCs w:val="24"/>
        </w:rPr>
      </w:pPr>
      <w:r w:rsidRPr="009A0179">
        <w:rPr>
          <w:rFonts w:ascii="Times New Roman" w:eastAsia="Times New Roman" w:hAnsi="Times New Roman" w:cs="Times New Roman"/>
          <w:bCs/>
          <w:color w:val="000000"/>
          <w:sz w:val="24"/>
          <w:szCs w:val="24"/>
          <w:shd w:val="clear" w:color="auto" w:fill="FFFFFF"/>
        </w:rPr>
        <w:t xml:space="preserve">Accordingly, </w:t>
      </w:r>
      <w:r w:rsidR="008F591E" w:rsidRPr="009A0179">
        <w:rPr>
          <w:rFonts w:ascii="Times New Roman" w:hAnsi="Times New Roman" w:cs="Times New Roman"/>
          <w:sz w:val="24"/>
          <w:szCs w:val="24"/>
        </w:rPr>
        <w:t xml:space="preserve">the Board </w:t>
      </w:r>
      <w:r w:rsidRPr="009A0179">
        <w:rPr>
          <w:rFonts w:ascii="Times New Roman" w:hAnsi="Times New Roman" w:cs="Times New Roman"/>
          <w:sz w:val="24"/>
          <w:szCs w:val="24"/>
        </w:rPr>
        <w:t xml:space="preserve">determines </w:t>
      </w:r>
      <w:r w:rsidR="008F591E" w:rsidRPr="009A0179">
        <w:rPr>
          <w:rFonts w:ascii="Times New Roman" w:hAnsi="Times New Roman" w:cs="Times New Roman"/>
          <w:sz w:val="24"/>
          <w:szCs w:val="24"/>
        </w:rPr>
        <w:t xml:space="preserve">that </w:t>
      </w:r>
      <w:r w:rsidR="009A20DE" w:rsidRPr="009A0179">
        <w:rPr>
          <w:rFonts w:ascii="Times New Roman" w:hAnsi="Times New Roman" w:cs="Times New Roman"/>
          <w:sz w:val="24"/>
          <w:szCs w:val="24"/>
        </w:rPr>
        <w:t xml:space="preserve">if </w:t>
      </w:r>
      <w:r w:rsidR="00901CD3" w:rsidRPr="009A0179">
        <w:rPr>
          <w:rFonts w:ascii="Times New Roman" w:hAnsi="Times New Roman" w:cs="Times New Roman"/>
          <w:sz w:val="24"/>
          <w:szCs w:val="24"/>
        </w:rPr>
        <w:t xml:space="preserve">a </w:t>
      </w:r>
      <w:proofErr w:type="gramStart"/>
      <w:r w:rsidR="00901CD3" w:rsidRPr="009A0179">
        <w:rPr>
          <w:rFonts w:ascii="Times New Roman" w:hAnsi="Times New Roman" w:cs="Times New Roman"/>
          <w:sz w:val="24"/>
          <w:szCs w:val="24"/>
        </w:rPr>
        <w:t>Commissioner</w:t>
      </w:r>
      <w:proofErr w:type="gramEnd"/>
      <w:r w:rsidR="00901CD3" w:rsidRPr="009A0179">
        <w:rPr>
          <w:rFonts w:ascii="Times New Roman" w:hAnsi="Times New Roman" w:cs="Times New Roman"/>
          <w:sz w:val="24"/>
          <w:szCs w:val="24"/>
        </w:rPr>
        <w:t xml:space="preserve"> </w:t>
      </w:r>
      <w:r w:rsidR="009A20DE" w:rsidRPr="009A0179">
        <w:rPr>
          <w:rFonts w:ascii="Times New Roman" w:hAnsi="Times New Roman" w:cs="Times New Roman"/>
          <w:sz w:val="24"/>
          <w:szCs w:val="24"/>
        </w:rPr>
        <w:t xml:space="preserve">were to </w:t>
      </w:r>
      <w:r w:rsidR="008F591E" w:rsidRPr="009A0179">
        <w:rPr>
          <w:rFonts w:ascii="Times New Roman" w:hAnsi="Times New Roman" w:cs="Times New Roman"/>
          <w:sz w:val="24"/>
          <w:szCs w:val="24"/>
        </w:rPr>
        <w:t xml:space="preserve">accept compensated employment by </w:t>
      </w:r>
      <w:r w:rsidR="009A20DE" w:rsidRPr="009A0179">
        <w:rPr>
          <w:rFonts w:ascii="Times New Roman" w:hAnsi="Times New Roman" w:cs="Times New Roman"/>
          <w:sz w:val="24"/>
          <w:szCs w:val="24"/>
        </w:rPr>
        <w:t xml:space="preserve">or on behalf of a candidate or campaign receiving FEF funds, </w:t>
      </w:r>
      <w:r w:rsidR="00A536C6" w:rsidRPr="009A0179">
        <w:rPr>
          <w:rFonts w:ascii="Times New Roman" w:hAnsi="Times New Roman" w:cs="Times New Roman"/>
          <w:sz w:val="24"/>
          <w:szCs w:val="24"/>
        </w:rPr>
        <w:t>such</w:t>
      </w:r>
      <w:r w:rsidR="00710284" w:rsidRPr="009A0179">
        <w:rPr>
          <w:rFonts w:ascii="Times New Roman" w:hAnsi="Times New Roman" w:cs="Times New Roman"/>
          <w:sz w:val="24"/>
          <w:szCs w:val="24"/>
        </w:rPr>
        <w:t xml:space="preserve"> compensated employment </w:t>
      </w:r>
      <w:r w:rsidR="00A536C6" w:rsidRPr="009A0179">
        <w:rPr>
          <w:rFonts w:ascii="Times New Roman" w:hAnsi="Times New Roman" w:cs="Times New Roman"/>
          <w:sz w:val="24"/>
          <w:szCs w:val="24"/>
        </w:rPr>
        <w:t xml:space="preserve">would </w:t>
      </w:r>
      <w:r w:rsidR="00710284" w:rsidRPr="009A0179">
        <w:rPr>
          <w:rFonts w:ascii="Times New Roman" w:hAnsi="Times New Roman" w:cs="Times New Roman"/>
          <w:sz w:val="24"/>
          <w:szCs w:val="24"/>
        </w:rPr>
        <w:t>represent a</w:t>
      </w:r>
      <w:r w:rsidR="009A20DE" w:rsidRPr="009A0179">
        <w:rPr>
          <w:rFonts w:ascii="Times New Roman" w:hAnsi="Times New Roman" w:cs="Times New Roman"/>
          <w:sz w:val="24"/>
          <w:szCs w:val="24"/>
        </w:rPr>
        <w:t xml:space="preserve"> </w:t>
      </w:r>
      <w:r w:rsidR="00710284" w:rsidRPr="009A0179">
        <w:rPr>
          <w:rFonts w:ascii="Times New Roman" w:hAnsi="Times New Roman" w:cs="Times New Roman"/>
          <w:sz w:val="24"/>
          <w:szCs w:val="24"/>
        </w:rPr>
        <w:t>“</w:t>
      </w:r>
      <w:r w:rsidR="009A20DE" w:rsidRPr="009A0179">
        <w:rPr>
          <w:rFonts w:ascii="Times New Roman" w:hAnsi="Times New Roman" w:cs="Times New Roman"/>
          <w:sz w:val="24"/>
          <w:szCs w:val="24"/>
        </w:rPr>
        <w:t>financial interest</w:t>
      </w:r>
      <w:r w:rsidR="00710284" w:rsidRPr="009A0179">
        <w:rPr>
          <w:rFonts w:ascii="Times New Roman" w:hAnsi="Times New Roman" w:cs="Times New Roman"/>
          <w:sz w:val="24"/>
          <w:szCs w:val="24"/>
        </w:rPr>
        <w:t xml:space="preserve">” </w:t>
      </w:r>
      <w:r w:rsidR="00A536C6" w:rsidRPr="009A0179">
        <w:rPr>
          <w:rFonts w:ascii="Times New Roman" w:hAnsi="Times New Roman" w:cs="Times New Roman"/>
          <w:sz w:val="24"/>
          <w:szCs w:val="24"/>
        </w:rPr>
        <w:t>under the Ethics Law</w:t>
      </w:r>
      <w:r w:rsidR="00047EAA" w:rsidRPr="009A0179">
        <w:rPr>
          <w:rFonts w:ascii="Times New Roman" w:hAnsi="Times New Roman" w:cs="Times New Roman"/>
          <w:sz w:val="24"/>
          <w:szCs w:val="24"/>
        </w:rPr>
        <w:t xml:space="preserve"> and </w:t>
      </w:r>
      <w:r w:rsidR="004F2649" w:rsidRPr="009A0179">
        <w:rPr>
          <w:rFonts w:ascii="Times New Roman" w:hAnsi="Times New Roman" w:cs="Times New Roman"/>
          <w:sz w:val="24"/>
          <w:szCs w:val="24"/>
        </w:rPr>
        <w:t>thus constitute</w:t>
      </w:r>
      <w:r w:rsidR="00047EAA" w:rsidRPr="009A0179">
        <w:rPr>
          <w:rFonts w:ascii="Times New Roman" w:hAnsi="Times New Roman" w:cs="Times New Roman"/>
          <w:sz w:val="24"/>
          <w:szCs w:val="24"/>
        </w:rPr>
        <w:t xml:space="preserve"> a violation of the conflict-of-interest provisions </w:t>
      </w:r>
      <w:r w:rsidR="00BB40E3" w:rsidRPr="009A0179">
        <w:rPr>
          <w:rFonts w:ascii="Times New Roman" w:hAnsi="Times New Roman" w:cs="Times New Roman"/>
          <w:sz w:val="24"/>
          <w:szCs w:val="24"/>
        </w:rPr>
        <w:t>of Art. 8</w:t>
      </w:r>
      <w:r w:rsidRPr="009A0179">
        <w:rPr>
          <w:rFonts w:ascii="Times New Roman" w:hAnsi="Times New Roman" w:cs="Times New Roman"/>
          <w:sz w:val="24"/>
          <w:szCs w:val="24"/>
        </w:rPr>
        <w:t>, § 6-11</w:t>
      </w:r>
      <w:r w:rsidR="00BB40E3" w:rsidRPr="009A0179">
        <w:rPr>
          <w:rFonts w:ascii="Times New Roman" w:hAnsi="Times New Roman" w:cs="Times New Roman"/>
          <w:sz w:val="24"/>
          <w:szCs w:val="24"/>
        </w:rPr>
        <w:t>.</w:t>
      </w:r>
    </w:p>
    <w:p w14:paraId="34F2DD20" w14:textId="24A80E40" w:rsidR="00F94D8D" w:rsidRDefault="00F94D8D" w:rsidP="009A0179">
      <w:pPr>
        <w:pStyle w:val="ListParagraph"/>
        <w:numPr>
          <w:ilvl w:val="0"/>
          <w:numId w:val="20"/>
        </w:numPr>
        <w:tabs>
          <w:tab w:val="left" w:pos="8550"/>
        </w:tabs>
        <w:spacing w:after="0" w:line="256" w:lineRule="auto"/>
        <w:ind w:right="1440" w:hanging="1080"/>
        <w:jc w:val="both"/>
        <w:rPr>
          <w:rFonts w:ascii="Times New Roman" w:hAnsi="Times New Roman" w:cs="Times New Roman"/>
          <w:b/>
          <w:bCs/>
          <w:sz w:val="24"/>
          <w:szCs w:val="24"/>
          <w:u w:val="single"/>
        </w:rPr>
      </w:pPr>
      <w:r>
        <w:rPr>
          <w:rFonts w:ascii="Times New Roman" w:hAnsi="Times New Roman" w:cs="Times New Roman"/>
          <w:b/>
          <w:bCs/>
          <w:sz w:val="24"/>
          <w:szCs w:val="24"/>
          <w:u w:val="single"/>
        </w:rPr>
        <w:t>§ 6-36.  {Prestige of office.}</w:t>
      </w:r>
    </w:p>
    <w:p w14:paraId="4DFC0DD1" w14:textId="77777777" w:rsidR="00A21C69" w:rsidRDefault="00A21C69" w:rsidP="009A0179">
      <w:pPr>
        <w:tabs>
          <w:tab w:val="left" w:pos="1620"/>
        </w:tabs>
        <w:spacing w:after="0"/>
        <w:jc w:val="both"/>
        <w:rPr>
          <w:rFonts w:ascii="Times New Roman" w:hAnsi="Times New Roman" w:cs="Times New Roman"/>
        </w:rPr>
      </w:pPr>
    </w:p>
    <w:p w14:paraId="3B9891FE" w14:textId="66FF9B0E" w:rsidR="00F7092C" w:rsidRPr="009A0179" w:rsidRDefault="00F7092C" w:rsidP="00F7092C">
      <w:pPr>
        <w:tabs>
          <w:tab w:val="left" w:pos="1620"/>
        </w:tabs>
        <w:jc w:val="both"/>
        <w:rPr>
          <w:rFonts w:ascii="Times New Roman" w:hAnsi="Times New Roman" w:cs="Times New Roman"/>
          <w:sz w:val="24"/>
          <w:szCs w:val="24"/>
        </w:rPr>
      </w:pPr>
      <w:r w:rsidRPr="009A0179">
        <w:rPr>
          <w:rFonts w:ascii="Times New Roman" w:hAnsi="Times New Roman" w:cs="Times New Roman"/>
          <w:sz w:val="24"/>
          <w:szCs w:val="24"/>
        </w:rPr>
        <w:t>Section 6-36 {Prestige of office} prohibits a public servant from intentionally using the prestige of his or her office or position for his or her own private gain or that of another.</w:t>
      </w:r>
      <w:r w:rsidR="00E006A3" w:rsidRPr="009A0179">
        <w:rPr>
          <w:rStyle w:val="EndnoteReference"/>
          <w:rFonts w:ascii="Times New Roman" w:hAnsi="Times New Roman" w:cs="Times New Roman"/>
          <w:sz w:val="24"/>
          <w:szCs w:val="24"/>
        </w:rPr>
        <w:endnoteReference w:id="3"/>
      </w:r>
    </w:p>
    <w:p w14:paraId="30C3C837" w14:textId="03E0F5AF" w:rsidR="00004D8C" w:rsidRPr="009A0179" w:rsidRDefault="008D1271" w:rsidP="00004D8C">
      <w:pPr>
        <w:tabs>
          <w:tab w:val="left" w:pos="1620"/>
        </w:tabs>
        <w:jc w:val="both"/>
        <w:rPr>
          <w:rFonts w:ascii="Times New Roman" w:hAnsi="Times New Roman" w:cs="Times New Roman"/>
          <w:sz w:val="24"/>
          <w:szCs w:val="24"/>
        </w:rPr>
      </w:pPr>
      <w:r w:rsidRPr="009A0179">
        <w:rPr>
          <w:rFonts w:ascii="Times New Roman" w:hAnsi="Times New Roman" w:cs="Times New Roman"/>
          <w:sz w:val="24"/>
          <w:szCs w:val="24"/>
        </w:rPr>
        <w:t>In its Advisory Opinion No. 2021-04 from</w:t>
      </w:r>
      <w:r w:rsidR="00004D8C" w:rsidRPr="009A0179">
        <w:rPr>
          <w:rFonts w:ascii="Times New Roman" w:hAnsi="Times New Roman" w:cs="Times New Roman"/>
          <w:sz w:val="24"/>
          <w:szCs w:val="24"/>
        </w:rPr>
        <w:t xml:space="preserve"> Dec. 16, 2021, the Howard County Ethics Commission</w:t>
      </w:r>
      <w:r w:rsidR="00D42358" w:rsidRPr="009A0179">
        <w:rPr>
          <w:rFonts w:ascii="Times New Roman" w:hAnsi="Times New Roman" w:cs="Times New Roman"/>
          <w:sz w:val="24"/>
          <w:szCs w:val="24"/>
        </w:rPr>
        <w:t>, addressing a similar question to the one here as applied to the Howard County Citizens’ Election Fund Commission (“CEF”),</w:t>
      </w:r>
      <w:r w:rsidR="00004D8C" w:rsidRPr="009A0179">
        <w:rPr>
          <w:rFonts w:ascii="Times New Roman" w:hAnsi="Times New Roman" w:cs="Times New Roman"/>
          <w:sz w:val="24"/>
          <w:szCs w:val="24"/>
        </w:rPr>
        <w:t xml:space="preserve"> determined that under Howard County Code’s equivalent of </w:t>
      </w:r>
      <w:r w:rsidR="00493D6F" w:rsidRPr="009A0179">
        <w:rPr>
          <w:rFonts w:ascii="Times New Roman" w:hAnsi="Times New Roman" w:cs="Times New Roman"/>
          <w:sz w:val="24"/>
          <w:szCs w:val="24"/>
        </w:rPr>
        <w:t xml:space="preserve">Baltimore City’s </w:t>
      </w:r>
      <w:r w:rsidR="00004D8C" w:rsidRPr="009A0179">
        <w:rPr>
          <w:rFonts w:ascii="Times New Roman" w:hAnsi="Times New Roman" w:cs="Times New Roman"/>
          <w:sz w:val="24"/>
          <w:szCs w:val="24"/>
        </w:rPr>
        <w:t>Art. 8’s § 6-36, “the term ‘private gain’</w:t>
      </w:r>
      <w:r w:rsidR="00D42358" w:rsidRPr="009A0179">
        <w:rPr>
          <w:rFonts w:ascii="Times New Roman" w:hAnsi="Times New Roman" w:cs="Times New Roman"/>
          <w:sz w:val="24"/>
          <w:szCs w:val="24"/>
        </w:rPr>
        <w:t>. . .</w:t>
      </w:r>
      <w:r w:rsidR="00004D8C" w:rsidRPr="009A0179">
        <w:rPr>
          <w:rFonts w:ascii="Times New Roman" w:hAnsi="Times New Roman" w:cs="Times New Roman"/>
          <w:sz w:val="24"/>
          <w:szCs w:val="24"/>
        </w:rPr>
        <w:t xml:space="preserve"> applies solely to economic or contractual gain. (…)  A direct donation [by a </w:t>
      </w:r>
      <w:proofErr w:type="gramStart"/>
      <w:r w:rsidR="00004D8C" w:rsidRPr="009A0179">
        <w:rPr>
          <w:rFonts w:ascii="Times New Roman" w:hAnsi="Times New Roman" w:cs="Times New Roman"/>
          <w:sz w:val="24"/>
          <w:szCs w:val="24"/>
        </w:rPr>
        <w:t>Commissioner</w:t>
      </w:r>
      <w:proofErr w:type="gramEnd"/>
      <w:r w:rsidR="00004D8C" w:rsidRPr="009A0179">
        <w:rPr>
          <w:rFonts w:ascii="Times New Roman" w:hAnsi="Times New Roman" w:cs="Times New Roman"/>
          <w:sz w:val="24"/>
          <w:szCs w:val="24"/>
        </w:rPr>
        <w:t>] to a participating candidate would amount to ‘private gain of another’” and “that the conflict cannot be cured by recusal or non-participation because it does not cure the likely perception by the public that a CEF Commission member who donates directly to a participating candidate may have impaired impartiality or lack independence of judgment.”</w:t>
      </w:r>
      <w:r w:rsidR="00004D8C" w:rsidRPr="009A0179">
        <w:rPr>
          <w:rStyle w:val="FootnoteReference"/>
          <w:rFonts w:ascii="Times New Roman" w:hAnsi="Times New Roman" w:cs="Times New Roman"/>
          <w:sz w:val="24"/>
          <w:szCs w:val="24"/>
        </w:rPr>
        <w:footnoteReference w:id="4"/>
      </w:r>
    </w:p>
    <w:p w14:paraId="6D017E28" w14:textId="24AF5E72" w:rsidR="001F49F8" w:rsidRPr="009A0179" w:rsidRDefault="00493D6F" w:rsidP="00F345C4">
      <w:pPr>
        <w:tabs>
          <w:tab w:val="left" w:pos="1620"/>
        </w:tabs>
        <w:spacing w:line="276" w:lineRule="auto"/>
        <w:jc w:val="both"/>
        <w:rPr>
          <w:rFonts w:ascii="Times New Roman" w:hAnsi="Times New Roman" w:cs="Times New Roman"/>
          <w:sz w:val="24"/>
          <w:szCs w:val="24"/>
        </w:rPr>
      </w:pPr>
      <w:r w:rsidRPr="009A0179">
        <w:rPr>
          <w:rFonts w:ascii="Times New Roman" w:hAnsi="Times New Roman" w:cs="Times New Roman"/>
          <w:sz w:val="24"/>
          <w:szCs w:val="24"/>
        </w:rPr>
        <w:t xml:space="preserve">The Board, however, </w:t>
      </w:r>
      <w:r w:rsidR="00D42358" w:rsidRPr="009A0179">
        <w:rPr>
          <w:rFonts w:ascii="Times New Roman" w:hAnsi="Times New Roman" w:cs="Times New Roman"/>
          <w:sz w:val="24"/>
          <w:szCs w:val="24"/>
        </w:rPr>
        <w:t xml:space="preserve">finds </w:t>
      </w:r>
      <w:r w:rsidR="00F345C4" w:rsidRPr="009A0179">
        <w:rPr>
          <w:rFonts w:ascii="Times New Roman" w:hAnsi="Times New Roman" w:cs="Times New Roman"/>
          <w:sz w:val="24"/>
          <w:szCs w:val="24"/>
        </w:rPr>
        <w:t xml:space="preserve">that </w:t>
      </w:r>
      <w:r w:rsidR="00004D8C" w:rsidRPr="009A0179">
        <w:rPr>
          <w:rFonts w:ascii="Times New Roman" w:hAnsi="Times New Roman" w:cs="Times New Roman"/>
          <w:sz w:val="24"/>
          <w:szCs w:val="24"/>
        </w:rPr>
        <w:t xml:space="preserve">Commissioners </w:t>
      </w:r>
      <w:r w:rsidR="00BB40E3" w:rsidRPr="009A0179">
        <w:rPr>
          <w:rFonts w:ascii="Times New Roman" w:hAnsi="Times New Roman" w:cs="Times New Roman"/>
          <w:sz w:val="24"/>
          <w:szCs w:val="24"/>
        </w:rPr>
        <w:t xml:space="preserve">who make a </w:t>
      </w:r>
      <w:r w:rsidR="00004D8C" w:rsidRPr="009A0179">
        <w:rPr>
          <w:rFonts w:ascii="Times New Roman" w:hAnsi="Times New Roman" w:cs="Times New Roman"/>
          <w:i/>
          <w:iCs/>
          <w:sz w:val="24"/>
          <w:szCs w:val="24"/>
        </w:rPr>
        <w:t>private</w:t>
      </w:r>
      <w:r w:rsidR="00BC5488" w:rsidRPr="009A0179">
        <w:rPr>
          <w:rFonts w:ascii="Times New Roman" w:hAnsi="Times New Roman" w:cs="Times New Roman"/>
          <w:sz w:val="24"/>
          <w:szCs w:val="24"/>
        </w:rPr>
        <w:t xml:space="preserve"> campaign</w:t>
      </w:r>
      <w:r w:rsidR="00004D8C" w:rsidRPr="009A0179">
        <w:rPr>
          <w:rFonts w:ascii="Times New Roman" w:hAnsi="Times New Roman" w:cs="Times New Roman"/>
          <w:sz w:val="24"/>
          <w:szCs w:val="24"/>
        </w:rPr>
        <w:t xml:space="preserve"> contribution</w:t>
      </w:r>
      <w:r w:rsidR="00F345C4" w:rsidRPr="009A0179">
        <w:rPr>
          <w:rFonts w:ascii="Times New Roman" w:hAnsi="Times New Roman" w:cs="Times New Roman"/>
          <w:sz w:val="24"/>
          <w:szCs w:val="24"/>
        </w:rPr>
        <w:t xml:space="preserve"> are</w:t>
      </w:r>
      <w:r w:rsidR="00004D8C" w:rsidRPr="009A0179">
        <w:rPr>
          <w:rFonts w:ascii="Times New Roman" w:hAnsi="Times New Roman" w:cs="Times New Roman"/>
          <w:sz w:val="24"/>
          <w:szCs w:val="24"/>
        </w:rPr>
        <w:t xml:space="preserve"> not using their "official position" for anyone's private gain (even if a contribution </w:t>
      </w:r>
      <w:r w:rsidR="00BC5488" w:rsidRPr="009A0179">
        <w:rPr>
          <w:rFonts w:ascii="Times New Roman" w:hAnsi="Times New Roman" w:cs="Times New Roman"/>
          <w:sz w:val="24"/>
          <w:szCs w:val="24"/>
        </w:rPr>
        <w:t>results in</w:t>
      </w:r>
      <w:r w:rsidR="00004D8C" w:rsidRPr="009A0179">
        <w:rPr>
          <w:rFonts w:ascii="Times New Roman" w:hAnsi="Times New Roman" w:cs="Times New Roman"/>
          <w:sz w:val="24"/>
          <w:szCs w:val="24"/>
        </w:rPr>
        <w:t xml:space="preserve"> a </w:t>
      </w:r>
      <w:r w:rsidR="00004D8C" w:rsidRPr="009A0179">
        <w:rPr>
          <w:rFonts w:ascii="Times New Roman" w:hAnsi="Times New Roman" w:cs="Times New Roman"/>
          <w:i/>
          <w:iCs/>
          <w:sz w:val="24"/>
          <w:szCs w:val="24"/>
        </w:rPr>
        <w:t>de facto</w:t>
      </w:r>
      <w:r w:rsidR="00004D8C" w:rsidRPr="009A0179">
        <w:rPr>
          <w:rFonts w:ascii="Times New Roman" w:hAnsi="Times New Roman" w:cs="Times New Roman"/>
          <w:sz w:val="24"/>
          <w:szCs w:val="24"/>
        </w:rPr>
        <w:t xml:space="preserve"> "gain" for the</w:t>
      </w:r>
      <w:r w:rsidR="004F2649" w:rsidRPr="009A0179">
        <w:rPr>
          <w:rFonts w:ascii="Times New Roman" w:hAnsi="Times New Roman" w:cs="Times New Roman"/>
          <w:sz w:val="24"/>
          <w:szCs w:val="24"/>
        </w:rPr>
        <w:t xml:space="preserve"> State-regulated</w:t>
      </w:r>
      <w:r w:rsidR="00004D8C" w:rsidRPr="009A0179">
        <w:rPr>
          <w:rFonts w:ascii="Times New Roman" w:hAnsi="Times New Roman" w:cs="Times New Roman"/>
          <w:sz w:val="24"/>
          <w:szCs w:val="24"/>
        </w:rPr>
        <w:t xml:space="preserve"> campaign entity)</w:t>
      </w:r>
      <w:r w:rsidR="00F345C4" w:rsidRPr="009A0179">
        <w:rPr>
          <w:rFonts w:ascii="Times New Roman" w:hAnsi="Times New Roman" w:cs="Times New Roman"/>
          <w:sz w:val="24"/>
          <w:szCs w:val="24"/>
        </w:rPr>
        <w:t xml:space="preserve">. Also, </w:t>
      </w:r>
      <w:r w:rsidR="00D42358" w:rsidRPr="009A0179">
        <w:rPr>
          <w:rFonts w:ascii="Times New Roman" w:hAnsi="Times New Roman" w:cs="Times New Roman"/>
          <w:sz w:val="24"/>
          <w:szCs w:val="24"/>
        </w:rPr>
        <w:t xml:space="preserve">as discussed above, </w:t>
      </w:r>
      <w:r w:rsidR="00F54116" w:rsidRPr="009A0179">
        <w:rPr>
          <w:rFonts w:ascii="Times New Roman" w:hAnsi="Times New Roman" w:cs="Times New Roman"/>
          <w:sz w:val="24"/>
          <w:szCs w:val="24"/>
        </w:rPr>
        <w:t xml:space="preserve">a </w:t>
      </w:r>
      <w:proofErr w:type="gramStart"/>
      <w:r w:rsidR="00F54116" w:rsidRPr="009A0179">
        <w:rPr>
          <w:rFonts w:ascii="Times New Roman" w:hAnsi="Times New Roman" w:cs="Times New Roman"/>
          <w:sz w:val="24"/>
          <w:szCs w:val="24"/>
        </w:rPr>
        <w:t>Commissioner’s</w:t>
      </w:r>
      <w:proofErr w:type="gramEnd"/>
      <w:r w:rsidR="00F54116" w:rsidRPr="009A0179">
        <w:rPr>
          <w:rFonts w:ascii="Times New Roman" w:hAnsi="Times New Roman" w:cs="Times New Roman"/>
          <w:sz w:val="24"/>
          <w:szCs w:val="24"/>
        </w:rPr>
        <w:t xml:space="preserve"> private contribution</w:t>
      </w:r>
      <w:r w:rsidR="009F2905" w:rsidRPr="009A0179">
        <w:rPr>
          <w:rFonts w:ascii="Times New Roman" w:hAnsi="Times New Roman" w:cs="Times New Roman"/>
          <w:sz w:val="24"/>
          <w:szCs w:val="24"/>
        </w:rPr>
        <w:t xml:space="preserve"> does not </w:t>
      </w:r>
      <w:r w:rsidR="00F345C4" w:rsidRPr="009A0179">
        <w:rPr>
          <w:rFonts w:ascii="Times New Roman" w:hAnsi="Times New Roman" w:cs="Times New Roman"/>
          <w:sz w:val="24"/>
          <w:szCs w:val="24"/>
        </w:rPr>
        <w:t xml:space="preserve">create </w:t>
      </w:r>
      <w:r w:rsidR="009F2905" w:rsidRPr="009A0179">
        <w:rPr>
          <w:rFonts w:ascii="Times New Roman" w:hAnsi="Times New Roman" w:cs="Times New Roman"/>
          <w:sz w:val="24"/>
          <w:szCs w:val="24"/>
        </w:rPr>
        <w:t xml:space="preserve">a cognizable “interest” </w:t>
      </w:r>
      <w:r w:rsidR="00D42358" w:rsidRPr="009A0179">
        <w:rPr>
          <w:rFonts w:ascii="Times New Roman" w:hAnsi="Times New Roman" w:cs="Times New Roman"/>
          <w:sz w:val="24"/>
          <w:szCs w:val="24"/>
        </w:rPr>
        <w:t xml:space="preserve">in that campaign entity </w:t>
      </w:r>
      <w:r w:rsidR="009F2905" w:rsidRPr="009A0179">
        <w:rPr>
          <w:rFonts w:ascii="Times New Roman" w:hAnsi="Times New Roman" w:cs="Times New Roman"/>
          <w:sz w:val="24"/>
          <w:szCs w:val="24"/>
        </w:rPr>
        <w:t>for purposes of the Ethics Law</w:t>
      </w:r>
      <w:r w:rsidR="00D42358" w:rsidRPr="009A0179">
        <w:rPr>
          <w:rFonts w:ascii="Times New Roman" w:hAnsi="Times New Roman" w:cs="Times New Roman"/>
          <w:sz w:val="24"/>
          <w:szCs w:val="24"/>
        </w:rPr>
        <w:t>.</w:t>
      </w:r>
    </w:p>
    <w:p w14:paraId="385315A5" w14:textId="76C6F721" w:rsidR="00C141C8" w:rsidRPr="009A0179" w:rsidRDefault="00D42358" w:rsidP="00F345C4">
      <w:pPr>
        <w:tabs>
          <w:tab w:val="left" w:pos="1620"/>
        </w:tabs>
        <w:spacing w:line="276" w:lineRule="auto"/>
        <w:jc w:val="both"/>
        <w:rPr>
          <w:rFonts w:ascii="Times New Roman" w:hAnsi="Times New Roman" w:cs="Times New Roman"/>
          <w:sz w:val="24"/>
          <w:szCs w:val="24"/>
        </w:rPr>
      </w:pPr>
      <w:r w:rsidRPr="009A0179">
        <w:rPr>
          <w:rFonts w:ascii="Times New Roman" w:hAnsi="Times New Roman" w:cs="Times New Roman"/>
          <w:sz w:val="24"/>
          <w:szCs w:val="24"/>
        </w:rPr>
        <w:t>Thus</w:t>
      </w:r>
      <w:r w:rsidR="00004D8C" w:rsidRPr="009A0179">
        <w:rPr>
          <w:rFonts w:ascii="Times New Roman" w:hAnsi="Times New Roman" w:cs="Times New Roman"/>
          <w:sz w:val="24"/>
          <w:szCs w:val="24"/>
        </w:rPr>
        <w:t xml:space="preserve">, the Board determines that a lawful campaign contribution made </w:t>
      </w:r>
      <w:r w:rsidRPr="009A0179">
        <w:rPr>
          <w:rFonts w:ascii="Times New Roman" w:hAnsi="Times New Roman" w:cs="Times New Roman"/>
          <w:sz w:val="24"/>
          <w:szCs w:val="24"/>
        </w:rPr>
        <w:t xml:space="preserve">by a </w:t>
      </w:r>
      <w:proofErr w:type="gramStart"/>
      <w:r w:rsidRPr="009A0179">
        <w:rPr>
          <w:rFonts w:ascii="Times New Roman" w:hAnsi="Times New Roman" w:cs="Times New Roman"/>
          <w:sz w:val="24"/>
          <w:szCs w:val="24"/>
        </w:rPr>
        <w:t>Commissioner</w:t>
      </w:r>
      <w:proofErr w:type="gramEnd"/>
      <w:r w:rsidRPr="009A0179">
        <w:rPr>
          <w:rFonts w:ascii="Times New Roman" w:hAnsi="Times New Roman" w:cs="Times New Roman"/>
          <w:sz w:val="24"/>
          <w:szCs w:val="24"/>
        </w:rPr>
        <w:t xml:space="preserve"> </w:t>
      </w:r>
      <w:r w:rsidR="00004D8C" w:rsidRPr="009A0179">
        <w:rPr>
          <w:rFonts w:ascii="Times New Roman" w:hAnsi="Times New Roman" w:cs="Times New Roman"/>
          <w:sz w:val="24"/>
          <w:szCs w:val="24"/>
        </w:rPr>
        <w:t>pursuant to</w:t>
      </w:r>
      <w:r w:rsidR="00004D8C" w:rsidRPr="009A0179">
        <w:rPr>
          <w:sz w:val="24"/>
          <w:szCs w:val="24"/>
        </w:rPr>
        <w:t xml:space="preserve"> </w:t>
      </w:r>
      <w:r w:rsidR="00004D8C" w:rsidRPr="009A0179">
        <w:rPr>
          <w:rFonts w:ascii="Times New Roman" w:hAnsi="Times New Roman" w:cs="Times New Roman"/>
          <w:sz w:val="24"/>
          <w:szCs w:val="24"/>
        </w:rPr>
        <w:t xml:space="preserve">State Election Law Article, Title 13, </w:t>
      </w:r>
      <w:r w:rsidR="00004D8C" w:rsidRPr="009A0179">
        <w:rPr>
          <w:rFonts w:ascii="Times New Roman" w:hAnsi="Times New Roman" w:cs="Times New Roman"/>
          <w:i/>
          <w:iCs/>
          <w:sz w:val="24"/>
          <w:szCs w:val="24"/>
        </w:rPr>
        <w:t>does not</w:t>
      </w:r>
      <w:r w:rsidR="00004D8C" w:rsidRPr="009A0179">
        <w:rPr>
          <w:rFonts w:ascii="Times New Roman" w:hAnsi="Times New Roman" w:cs="Times New Roman"/>
          <w:sz w:val="24"/>
          <w:szCs w:val="24"/>
        </w:rPr>
        <w:t xml:space="preserve"> constitute a violation of the Ethics Law’s prestige</w:t>
      </w:r>
      <w:r w:rsidR="00BB40E3" w:rsidRPr="009A0179">
        <w:rPr>
          <w:rFonts w:ascii="Times New Roman" w:hAnsi="Times New Roman" w:cs="Times New Roman"/>
          <w:sz w:val="24"/>
          <w:szCs w:val="24"/>
        </w:rPr>
        <w:t>-</w:t>
      </w:r>
      <w:r w:rsidR="00004D8C" w:rsidRPr="009A0179">
        <w:rPr>
          <w:rFonts w:ascii="Times New Roman" w:hAnsi="Times New Roman" w:cs="Times New Roman"/>
          <w:sz w:val="24"/>
          <w:szCs w:val="24"/>
        </w:rPr>
        <w:t>of</w:t>
      </w:r>
      <w:r w:rsidR="00BB40E3" w:rsidRPr="009A0179">
        <w:rPr>
          <w:rFonts w:ascii="Times New Roman" w:hAnsi="Times New Roman" w:cs="Times New Roman"/>
          <w:sz w:val="24"/>
          <w:szCs w:val="24"/>
        </w:rPr>
        <w:t>-</w:t>
      </w:r>
      <w:r w:rsidR="00004D8C" w:rsidRPr="009A0179">
        <w:rPr>
          <w:rFonts w:ascii="Times New Roman" w:hAnsi="Times New Roman" w:cs="Times New Roman"/>
          <w:sz w:val="24"/>
          <w:szCs w:val="24"/>
        </w:rPr>
        <w:t>office provisions.</w:t>
      </w:r>
    </w:p>
    <w:p w14:paraId="58D4CB02" w14:textId="59EA7D2D" w:rsidR="00E074D2" w:rsidRPr="00E074D2" w:rsidRDefault="00E074D2">
      <w:pPr>
        <w:spacing w:after="0"/>
        <w:jc w:val="both"/>
        <w:rPr>
          <w:rFonts w:ascii="Times New Roman" w:hAnsi="Times New Roman" w:cs="Times New Roman"/>
          <w:sz w:val="24"/>
          <w:szCs w:val="24"/>
          <w:u w:val="single"/>
        </w:rPr>
      </w:pPr>
      <w:r w:rsidRPr="009A0179">
        <w:rPr>
          <w:rFonts w:ascii="Times New Roman" w:hAnsi="Times New Roman" w:cs="Times New Roman"/>
          <w:b/>
          <w:bCs/>
          <w:sz w:val="24"/>
          <w:szCs w:val="24"/>
          <w:u w:val="single"/>
        </w:rPr>
        <w:t>Board Determination</w:t>
      </w:r>
    </w:p>
    <w:p w14:paraId="4F224007" w14:textId="77777777" w:rsidR="00E074D2" w:rsidRPr="00E074D2" w:rsidRDefault="00E074D2">
      <w:pPr>
        <w:spacing w:after="0"/>
        <w:jc w:val="both"/>
        <w:rPr>
          <w:rFonts w:ascii="Times New Roman" w:hAnsi="Times New Roman" w:cs="Times New Roman"/>
          <w:b/>
          <w:sz w:val="24"/>
          <w:szCs w:val="24"/>
        </w:rPr>
      </w:pPr>
    </w:p>
    <w:p w14:paraId="128E426F" w14:textId="6D51A6D6" w:rsidR="00BC5488" w:rsidRDefault="00BB40E3" w:rsidP="006639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Ethics Board</w:t>
      </w:r>
      <w:r w:rsidR="00384DEE">
        <w:rPr>
          <w:rFonts w:ascii="Times New Roman" w:hAnsi="Times New Roman" w:cs="Times New Roman"/>
          <w:sz w:val="24"/>
          <w:szCs w:val="24"/>
        </w:rPr>
        <w:t xml:space="preserve"> has determined that</w:t>
      </w:r>
      <w:r>
        <w:rPr>
          <w:rFonts w:ascii="Times New Roman" w:hAnsi="Times New Roman" w:cs="Times New Roman"/>
          <w:sz w:val="24"/>
          <w:szCs w:val="24"/>
        </w:rPr>
        <w:t xml:space="preserve"> </w:t>
      </w:r>
      <w:r w:rsidR="006731A4">
        <w:rPr>
          <w:rFonts w:ascii="Times New Roman" w:hAnsi="Times New Roman" w:cs="Times New Roman"/>
          <w:sz w:val="24"/>
          <w:szCs w:val="24"/>
        </w:rPr>
        <w:t xml:space="preserve">a </w:t>
      </w:r>
      <w:r w:rsidR="002B7F40">
        <w:rPr>
          <w:rFonts w:ascii="Times New Roman" w:hAnsi="Times New Roman" w:cs="Times New Roman"/>
          <w:sz w:val="24"/>
          <w:szCs w:val="24"/>
        </w:rPr>
        <w:t>member of the FEF Commission</w:t>
      </w:r>
      <w:r w:rsidR="00384DEE">
        <w:rPr>
          <w:rFonts w:ascii="Times New Roman" w:hAnsi="Times New Roman" w:cs="Times New Roman"/>
          <w:sz w:val="24"/>
          <w:szCs w:val="24"/>
        </w:rPr>
        <w:t xml:space="preserve"> may</w:t>
      </w:r>
      <w:r w:rsidR="00663935" w:rsidRPr="00663935">
        <w:t xml:space="preserve"> </w:t>
      </w:r>
      <w:r w:rsidR="00663935" w:rsidRPr="00663935">
        <w:rPr>
          <w:rFonts w:ascii="Times New Roman" w:hAnsi="Times New Roman" w:cs="Times New Roman"/>
          <w:sz w:val="24"/>
          <w:szCs w:val="24"/>
        </w:rPr>
        <w:t xml:space="preserve">make monetary and in-kind contributions </w:t>
      </w:r>
      <w:r w:rsidR="00F345C4">
        <w:rPr>
          <w:rFonts w:ascii="Times New Roman" w:hAnsi="Times New Roman" w:cs="Times New Roman"/>
          <w:sz w:val="24"/>
          <w:szCs w:val="24"/>
        </w:rPr>
        <w:t>(“</w:t>
      </w:r>
      <w:r w:rsidR="00663935" w:rsidRPr="00663935">
        <w:rPr>
          <w:rFonts w:ascii="Times New Roman" w:hAnsi="Times New Roman" w:cs="Times New Roman"/>
          <w:sz w:val="24"/>
          <w:szCs w:val="24"/>
        </w:rPr>
        <w:t>independent expenditures</w:t>
      </w:r>
      <w:r w:rsidR="00F345C4">
        <w:rPr>
          <w:rFonts w:ascii="Times New Roman" w:hAnsi="Times New Roman" w:cs="Times New Roman"/>
          <w:sz w:val="24"/>
          <w:szCs w:val="24"/>
        </w:rPr>
        <w:t>”)</w:t>
      </w:r>
      <w:r w:rsidR="00663935" w:rsidRPr="00663935">
        <w:rPr>
          <w:rFonts w:ascii="Times New Roman" w:hAnsi="Times New Roman" w:cs="Times New Roman"/>
          <w:sz w:val="24"/>
          <w:szCs w:val="24"/>
        </w:rPr>
        <w:t xml:space="preserve"> to candidates and/or campaigns receiving FEF funds</w:t>
      </w:r>
      <w:r w:rsidR="00663935">
        <w:rPr>
          <w:rFonts w:ascii="Times New Roman" w:hAnsi="Times New Roman" w:cs="Times New Roman"/>
          <w:sz w:val="24"/>
          <w:szCs w:val="24"/>
        </w:rPr>
        <w:t xml:space="preserve">. </w:t>
      </w:r>
      <w:r w:rsidR="008921C9">
        <w:rPr>
          <w:rFonts w:ascii="Times New Roman" w:hAnsi="Times New Roman" w:cs="Times New Roman"/>
          <w:sz w:val="24"/>
          <w:szCs w:val="24"/>
        </w:rPr>
        <w:t>H</w:t>
      </w:r>
      <w:r w:rsidR="00663935" w:rsidRPr="00663935">
        <w:rPr>
          <w:rFonts w:ascii="Times New Roman" w:hAnsi="Times New Roman" w:cs="Times New Roman"/>
          <w:sz w:val="24"/>
          <w:szCs w:val="24"/>
        </w:rPr>
        <w:t xml:space="preserve">owever, </w:t>
      </w:r>
      <w:r w:rsidR="008921C9">
        <w:rPr>
          <w:rFonts w:ascii="Times New Roman" w:hAnsi="Times New Roman" w:cs="Times New Roman"/>
          <w:sz w:val="24"/>
          <w:szCs w:val="24"/>
        </w:rPr>
        <w:t>accepting</w:t>
      </w:r>
      <w:r w:rsidR="00F345C4">
        <w:rPr>
          <w:rFonts w:ascii="Times New Roman" w:hAnsi="Times New Roman" w:cs="Times New Roman"/>
          <w:sz w:val="24"/>
          <w:szCs w:val="24"/>
        </w:rPr>
        <w:t xml:space="preserve"> or engaging in</w:t>
      </w:r>
      <w:r w:rsidR="008921C9">
        <w:rPr>
          <w:rFonts w:ascii="Times New Roman" w:hAnsi="Times New Roman" w:cs="Times New Roman"/>
          <w:sz w:val="24"/>
          <w:szCs w:val="24"/>
        </w:rPr>
        <w:t xml:space="preserve"> </w:t>
      </w:r>
      <w:r w:rsidR="00663935" w:rsidRPr="00663935">
        <w:rPr>
          <w:rFonts w:ascii="Times New Roman" w:hAnsi="Times New Roman" w:cs="Times New Roman"/>
          <w:sz w:val="24"/>
          <w:szCs w:val="24"/>
        </w:rPr>
        <w:t xml:space="preserve">compensated </w:t>
      </w:r>
      <w:r w:rsidR="008921C9">
        <w:rPr>
          <w:rFonts w:ascii="Times New Roman" w:hAnsi="Times New Roman" w:cs="Times New Roman"/>
          <w:sz w:val="24"/>
          <w:szCs w:val="24"/>
        </w:rPr>
        <w:t>employment by</w:t>
      </w:r>
      <w:r w:rsidR="00663935" w:rsidRPr="00663935">
        <w:rPr>
          <w:rFonts w:ascii="Times New Roman" w:hAnsi="Times New Roman" w:cs="Times New Roman"/>
          <w:sz w:val="24"/>
          <w:szCs w:val="24"/>
        </w:rPr>
        <w:t xml:space="preserve"> or on behalf of a candidate or campaign receiving FEF funds creates an impermissible conflict of interest under Art. 8</w:t>
      </w:r>
      <w:r w:rsidR="008921C9">
        <w:rPr>
          <w:rFonts w:ascii="Times New Roman" w:hAnsi="Times New Roman" w:cs="Times New Roman"/>
          <w:sz w:val="24"/>
          <w:szCs w:val="24"/>
        </w:rPr>
        <w:t>.</w:t>
      </w:r>
    </w:p>
    <w:p w14:paraId="34FD5217" w14:textId="77777777" w:rsidR="008921C9" w:rsidRDefault="008921C9" w:rsidP="00663935">
      <w:pPr>
        <w:spacing w:after="0" w:line="240" w:lineRule="auto"/>
        <w:jc w:val="both"/>
        <w:rPr>
          <w:rFonts w:ascii="Times New Roman" w:hAnsi="Times New Roman" w:cs="Times New Roman"/>
          <w:sz w:val="24"/>
          <w:szCs w:val="24"/>
        </w:rPr>
      </w:pPr>
    </w:p>
    <w:p w14:paraId="24536EDD" w14:textId="77777777" w:rsidR="00BC5488" w:rsidRDefault="00BC5488">
      <w:pPr>
        <w:spacing w:after="0" w:line="240" w:lineRule="auto"/>
        <w:jc w:val="both"/>
        <w:rPr>
          <w:rFonts w:ascii="Times New Roman" w:hAnsi="Times New Roman" w:cs="Times New Roman"/>
          <w:sz w:val="24"/>
          <w:szCs w:val="24"/>
        </w:rPr>
      </w:pPr>
    </w:p>
    <w:p w14:paraId="53F31BEB" w14:textId="77777777" w:rsidR="00976F20" w:rsidRDefault="003E1F46">
      <w:pPr>
        <w:pStyle w:val="Default"/>
        <w:ind w:left="5760"/>
      </w:pPr>
      <w:r>
        <w:t xml:space="preserve">Baltimore City Board of Ethics </w:t>
      </w:r>
    </w:p>
    <w:p w14:paraId="3082E023" w14:textId="77777777" w:rsidR="00976F20" w:rsidRDefault="00976F20">
      <w:pPr>
        <w:pStyle w:val="Default"/>
      </w:pPr>
    </w:p>
    <w:p w14:paraId="27DD696C" w14:textId="77777777" w:rsidR="00976F20" w:rsidRDefault="003E1F46">
      <w:pPr>
        <w:pStyle w:val="Default"/>
        <w:ind w:left="5760"/>
      </w:pPr>
      <w:r>
        <w:rPr>
          <w:i/>
          <w:iCs/>
        </w:rPr>
        <w:t xml:space="preserve">Stephan W. Fogleman, Chair </w:t>
      </w:r>
    </w:p>
    <w:p w14:paraId="0E823D7E" w14:textId="77777777" w:rsidR="00976F20" w:rsidRDefault="003E1F46">
      <w:pPr>
        <w:spacing w:after="0" w:line="240" w:lineRule="auto"/>
        <w:ind w:left="5760"/>
        <w:jc w:val="both"/>
        <w:rPr>
          <w:rFonts w:ascii="Times New Roman" w:hAnsi="Times New Roman" w:cs="Times New Roman"/>
          <w:i/>
          <w:iCs/>
          <w:sz w:val="24"/>
          <w:szCs w:val="24"/>
        </w:rPr>
      </w:pPr>
      <w:r>
        <w:rPr>
          <w:rFonts w:ascii="Times New Roman" w:hAnsi="Times New Roman" w:cs="Times New Roman"/>
          <w:i/>
          <w:iCs/>
          <w:sz w:val="24"/>
          <w:szCs w:val="24"/>
        </w:rPr>
        <w:t>Arnold Sampson</w:t>
      </w:r>
    </w:p>
    <w:p w14:paraId="537F8E5D" w14:textId="362846F7" w:rsidR="00A70B9C" w:rsidRDefault="00A70B9C">
      <w:pPr>
        <w:spacing w:after="0" w:line="240" w:lineRule="auto"/>
        <w:ind w:left="5760"/>
        <w:jc w:val="both"/>
        <w:rPr>
          <w:rFonts w:ascii="Times New Roman" w:hAnsi="Times New Roman" w:cs="Times New Roman"/>
          <w:i/>
          <w:iCs/>
          <w:sz w:val="24"/>
          <w:szCs w:val="24"/>
        </w:rPr>
      </w:pPr>
      <w:r>
        <w:rPr>
          <w:rFonts w:ascii="Times New Roman" w:hAnsi="Times New Roman" w:cs="Times New Roman"/>
          <w:i/>
          <w:iCs/>
          <w:sz w:val="24"/>
          <w:szCs w:val="24"/>
        </w:rPr>
        <w:t>John A. Mc</w:t>
      </w:r>
      <w:r w:rsidR="005776F7">
        <w:rPr>
          <w:rFonts w:ascii="Times New Roman" w:hAnsi="Times New Roman" w:cs="Times New Roman"/>
          <w:i/>
          <w:iCs/>
          <w:sz w:val="24"/>
          <w:szCs w:val="24"/>
        </w:rPr>
        <w:t>Ca</w:t>
      </w:r>
      <w:r>
        <w:rPr>
          <w:rFonts w:ascii="Times New Roman" w:hAnsi="Times New Roman" w:cs="Times New Roman"/>
          <w:i/>
          <w:iCs/>
          <w:sz w:val="24"/>
          <w:szCs w:val="24"/>
        </w:rPr>
        <w:t>ule</w:t>
      </w:r>
      <w:r w:rsidR="005776F7">
        <w:rPr>
          <w:rFonts w:ascii="Times New Roman" w:hAnsi="Times New Roman" w:cs="Times New Roman"/>
          <w:i/>
          <w:iCs/>
          <w:sz w:val="24"/>
          <w:szCs w:val="24"/>
        </w:rPr>
        <w:t>y</w:t>
      </w:r>
    </w:p>
    <w:p w14:paraId="5F2CC845" w14:textId="5FFABC39" w:rsidR="005776F7" w:rsidRDefault="005776F7">
      <w:pPr>
        <w:spacing w:after="0" w:line="240" w:lineRule="auto"/>
        <w:ind w:left="5760"/>
        <w:jc w:val="both"/>
        <w:rPr>
          <w:rFonts w:ascii="Times New Roman" w:hAnsi="Times New Roman" w:cs="Times New Roman"/>
          <w:sz w:val="24"/>
          <w:szCs w:val="24"/>
        </w:rPr>
      </w:pPr>
      <w:r>
        <w:rPr>
          <w:rFonts w:ascii="Times New Roman" w:hAnsi="Times New Roman" w:cs="Times New Roman"/>
          <w:i/>
          <w:iCs/>
          <w:sz w:val="24"/>
          <w:szCs w:val="24"/>
        </w:rPr>
        <w:t>Noelle W. Newman</w:t>
      </w:r>
    </w:p>
    <w:bookmarkEnd w:id="0"/>
    <w:p w14:paraId="357DCBF6" w14:textId="77777777" w:rsidR="00976F20" w:rsidRDefault="00976F20">
      <w:pPr>
        <w:spacing w:after="0"/>
        <w:jc w:val="both"/>
        <w:rPr>
          <w:rFonts w:ascii="Times New Roman" w:hAnsi="Times New Roman" w:cs="Times New Roman"/>
          <w:sz w:val="24"/>
          <w:szCs w:val="24"/>
        </w:rPr>
      </w:pPr>
    </w:p>
    <w:sectPr w:rsidR="00976F20" w:rsidSect="000C036A">
      <w:headerReference w:type="default" r:id="rId11"/>
      <w:footerReference w:type="default" r:id="rId12"/>
      <w:headerReference w:type="first" r:id="rId13"/>
      <w:footerReference w:type="first" r:id="rId14"/>
      <w:pgSz w:w="12240" w:h="15840"/>
      <w:pgMar w:top="1440" w:right="153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0DCAA" w14:textId="77777777" w:rsidR="000C036A" w:rsidRDefault="000C036A">
      <w:pPr>
        <w:spacing w:after="0" w:line="240" w:lineRule="auto"/>
      </w:pPr>
      <w:r>
        <w:separator/>
      </w:r>
    </w:p>
  </w:endnote>
  <w:endnote w:type="continuationSeparator" w:id="0">
    <w:p w14:paraId="06FEE89D" w14:textId="77777777" w:rsidR="000C036A" w:rsidRDefault="000C036A">
      <w:pPr>
        <w:spacing w:after="0" w:line="240" w:lineRule="auto"/>
      </w:pPr>
      <w:r>
        <w:continuationSeparator/>
      </w:r>
    </w:p>
  </w:endnote>
  <w:endnote w:id="1">
    <w:p w14:paraId="5F6940F4" w14:textId="77777777" w:rsidR="00F7092C" w:rsidRPr="009A0179" w:rsidRDefault="00F7092C" w:rsidP="00F7092C">
      <w:pPr>
        <w:pStyle w:val="FootnoteText"/>
        <w:rPr>
          <w:rFonts w:ascii="Times New Roman" w:hAnsi="Times New Roman" w:cs="Times New Roman"/>
          <w:b/>
          <w:bCs/>
          <w:sz w:val="22"/>
          <w:szCs w:val="22"/>
        </w:rPr>
      </w:pPr>
      <w:r w:rsidRPr="009A0179">
        <w:rPr>
          <w:rStyle w:val="EndnoteReference"/>
          <w:sz w:val="22"/>
          <w:szCs w:val="22"/>
        </w:rPr>
        <w:endnoteRef/>
      </w:r>
      <w:r w:rsidRPr="009A0179">
        <w:rPr>
          <w:sz w:val="22"/>
          <w:szCs w:val="22"/>
        </w:rPr>
        <w:t xml:space="preserve"> </w:t>
      </w:r>
      <w:r w:rsidRPr="009A0179">
        <w:rPr>
          <w:rFonts w:ascii="Times New Roman" w:hAnsi="Times New Roman" w:cs="Times New Roman"/>
          <w:b/>
          <w:bCs/>
          <w:sz w:val="22"/>
          <w:szCs w:val="22"/>
        </w:rPr>
        <w:t>§ 6-6.  Prohibited participation.</w:t>
      </w:r>
    </w:p>
    <w:p w14:paraId="63EDBCAF" w14:textId="77777777" w:rsidR="00F7092C" w:rsidRPr="009A0179" w:rsidRDefault="00F7092C" w:rsidP="00F7092C">
      <w:pPr>
        <w:pStyle w:val="FootnoteText"/>
        <w:rPr>
          <w:rFonts w:ascii="Times New Roman" w:hAnsi="Times New Roman" w:cs="Times New Roman"/>
          <w:i/>
          <w:iCs/>
          <w:sz w:val="22"/>
          <w:szCs w:val="22"/>
        </w:rPr>
      </w:pPr>
      <w:r w:rsidRPr="009A0179">
        <w:rPr>
          <w:rFonts w:ascii="Times New Roman" w:hAnsi="Times New Roman" w:cs="Times New Roman"/>
          <w:sz w:val="22"/>
          <w:szCs w:val="22"/>
        </w:rPr>
        <w:t>(a)</w:t>
      </w:r>
      <w:r w:rsidRPr="009A0179">
        <w:rPr>
          <w:rFonts w:ascii="Times New Roman" w:hAnsi="Times New Roman" w:cs="Times New Roman"/>
          <w:sz w:val="22"/>
          <w:szCs w:val="22"/>
        </w:rPr>
        <w:tab/>
      </w:r>
      <w:r w:rsidRPr="009A0179">
        <w:rPr>
          <w:rFonts w:ascii="Times New Roman" w:hAnsi="Times New Roman" w:cs="Times New Roman"/>
          <w:i/>
          <w:iCs/>
          <w:sz w:val="22"/>
          <w:szCs w:val="22"/>
        </w:rPr>
        <w:t>“Business entity” limited.</w:t>
      </w:r>
    </w:p>
    <w:p w14:paraId="326C82EE" w14:textId="77777777" w:rsidR="00F7092C" w:rsidRPr="009A0179" w:rsidRDefault="00F7092C" w:rsidP="00F7092C">
      <w:pPr>
        <w:pStyle w:val="FootnoteText"/>
        <w:rPr>
          <w:rFonts w:ascii="Times New Roman" w:hAnsi="Times New Roman" w:cs="Times New Roman"/>
          <w:sz w:val="22"/>
          <w:szCs w:val="22"/>
        </w:rPr>
      </w:pPr>
      <w:r w:rsidRPr="009A0179">
        <w:rPr>
          <w:rFonts w:ascii="Times New Roman" w:hAnsi="Times New Roman" w:cs="Times New Roman"/>
          <w:sz w:val="22"/>
          <w:szCs w:val="22"/>
        </w:rPr>
        <w:t>In this section, “business entity” does not include Baltimore City or any instrumentality, unit, or agency of Baltimore City.</w:t>
      </w:r>
    </w:p>
    <w:p w14:paraId="07E7B9E2" w14:textId="77777777" w:rsidR="00F7092C" w:rsidRPr="009A0179" w:rsidRDefault="00F7092C" w:rsidP="00F7092C">
      <w:pPr>
        <w:pStyle w:val="FootnoteText"/>
        <w:rPr>
          <w:rFonts w:ascii="Times New Roman" w:hAnsi="Times New Roman" w:cs="Times New Roman"/>
          <w:sz w:val="22"/>
          <w:szCs w:val="22"/>
        </w:rPr>
      </w:pPr>
      <w:r w:rsidRPr="009A0179">
        <w:rPr>
          <w:rFonts w:ascii="Times New Roman" w:hAnsi="Times New Roman" w:cs="Times New Roman"/>
          <w:sz w:val="22"/>
          <w:szCs w:val="22"/>
        </w:rPr>
        <w:t>(b)</w:t>
      </w:r>
      <w:r w:rsidRPr="009A0179">
        <w:rPr>
          <w:rFonts w:ascii="Times New Roman" w:hAnsi="Times New Roman" w:cs="Times New Roman"/>
          <w:sz w:val="22"/>
          <w:szCs w:val="22"/>
        </w:rPr>
        <w:tab/>
      </w:r>
      <w:r w:rsidRPr="009A0179">
        <w:rPr>
          <w:rFonts w:ascii="Times New Roman" w:hAnsi="Times New Roman" w:cs="Times New Roman"/>
          <w:i/>
          <w:iCs/>
          <w:sz w:val="22"/>
          <w:szCs w:val="22"/>
        </w:rPr>
        <w:t>When participation prohibited</w:t>
      </w:r>
      <w:r w:rsidRPr="009A0179">
        <w:rPr>
          <w:rFonts w:ascii="Times New Roman" w:hAnsi="Times New Roman" w:cs="Times New Roman"/>
          <w:sz w:val="22"/>
          <w:szCs w:val="22"/>
        </w:rPr>
        <w:t xml:space="preserve">. </w:t>
      </w:r>
    </w:p>
    <w:p w14:paraId="5FD2C946" w14:textId="77777777" w:rsidR="00F7092C" w:rsidRPr="009A0179" w:rsidRDefault="00F7092C" w:rsidP="00F7092C">
      <w:pPr>
        <w:pStyle w:val="FootnoteText"/>
        <w:rPr>
          <w:rFonts w:ascii="Times New Roman" w:hAnsi="Times New Roman" w:cs="Times New Roman"/>
          <w:sz w:val="22"/>
          <w:szCs w:val="22"/>
        </w:rPr>
      </w:pPr>
      <w:r w:rsidRPr="009A0179">
        <w:rPr>
          <w:rFonts w:ascii="Times New Roman" w:hAnsi="Times New Roman" w:cs="Times New Roman"/>
          <w:sz w:val="22"/>
          <w:szCs w:val="22"/>
        </w:rPr>
        <w:t>Except as otherwise provided in this Part II, a public servant may not participate in and must disqualify himself or herself from any matter if:</w:t>
      </w:r>
    </w:p>
    <w:p w14:paraId="348068C8" w14:textId="77777777" w:rsidR="00F7092C" w:rsidRPr="009A0179" w:rsidRDefault="00F7092C" w:rsidP="00F7092C">
      <w:pPr>
        <w:pStyle w:val="FootnoteText"/>
        <w:ind w:left="990" w:hanging="270"/>
        <w:rPr>
          <w:rFonts w:ascii="Times New Roman" w:hAnsi="Times New Roman" w:cs="Times New Roman"/>
          <w:sz w:val="22"/>
          <w:szCs w:val="22"/>
        </w:rPr>
      </w:pPr>
      <w:r w:rsidRPr="009A0179">
        <w:rPr>
          <w:rFonts w:ascii="Times New Roman" w:hAnsi="Times New Roman" w:cs="Times New Roman"/>
          <w:sz w:val="22"/>
          <w:szCs w:val="22"/>
        </w:rPr>
        <w:t>(1)</w:t>
      </w:r>
      <w:r w:rsidRPr="009A0179">
        <w:rPr>
          <w:rFonts w:ascii="Times New Roman" w:hAnsi="Times New Roman" w:cs="Times New Roman"/>
          <w:sz w:val="22"/>
          <w:szCs w:val="22"/>
        </w:rPr>
        <w:tab/>
        <w:t xml:space="preserve">the public servant has an interest in the matter of which the public servant might reasonably be expected to know; </w:t>
      </w:r>
    </w:p>
    <w:p w14:paraId="3D409F24" w14:textId="77777777" w:rsidR="00F7092C" w:rsidRPr="009A0179" w:rsidRDefault="00F7092C" w:rsidP="00F7092C">
      <w:pPr>
        <w:pStyle w:val="FootnoteText"/>
        <w:ind w:left="990" w:hanging="270"/>
        <w:rPr>
          <w:rFonts w:ascii="Times New Roman" w:hAnsi="Times New Roman" w:cs="Times New Roman"/>
          <w:sz w:val="22"/>
          <w:szCs w:val="22"/>
        </w:rPr>
      </w:pPr>
      <w:r w:rsidRPr="009A0179">
        <w:rPr>
          <w:rFonts w:ascii="Times New Roman" w:hAnsi="Times New Roman" w:cs="Times New Roman"/>
          <w:sz w:val="22"/>
          <w:szCs w:val="22"/>
        </w:rPr>
        <w:t>(2)</w:t>
      </w:r>
      <w:r w:rsidRPr="009A0179">
        <w:rPr>
          <w:rFonts w:ascii="Times New Roman" w:hAnsi="Times New Roman" w:cs="Times New Roman"/>
          <w:sz w:val="22"/>
          <w:szCs w:val="22"/>
        </w:rPr>
        <w:tab/>
        <w:t>to the public servant’s knowledge, a disqualifying relative has an interest in the matter; or</w:t>
      </w:r>
    </w:p>
    <w:p w14:paraId="732603CA" w14:textId="77777777" w:rsidR="00F7092C" w:rsidRPr="009A0179" w:rsidRDefault="00F7092C" w:rsidP="00F7092C">
      <w:pPr>
        <w:pStyle w:val="FootnoteText"/>
        <w:ind w:left="990" w:hanging="270"/>
        <w:rPr>
          <w:rFonts w:ascii="Times New Roman" w:hAnsi="Times New Roman" w:cs="Times New Roman"/>
          <w:sz w:val="22"/>
          <w:szCs w:val="22"/>
        </w:rPr>
      </w:pPr>
      <w:r w:rsidRPr="009A0179">
        <w:rPr>
          <w:rFonts w:ascii="Times New Roman" w:hAnsi="Times New Roman" w:cs="Times New Roman"/>
          <w:sz w:val="22"/>
          <w:szCs w:val="22"/>
        </w:rPr>
        <w:t>(3)</w:t>
      </w:r>
      <w:r w:rsidRPr="009A0179">
        <w:rPr>
          <w:rFonts w:ascii="Times New Roman" w:hAnsi="Times New Roman" w:cs="Times New Roman"/>
          <w:sz w:val="22"/>
          <w:szCs w:val="22"/>
        </w:rPr>
        <w:tab/>
        <w:t>any of the following is a party to the matter:</w:t>
      </w:r>
    </w:p>
    <w:p w14:paraId="146C42D0" w14:textId="77777777" w:rsidR="00F7092C" w:rsidRPr="009A0179" w:rsidRDefault="00F7092C" w:rsidP="00F7092C">
      <w:pPr>
        <w:pStyle w:val="FootnoteText"/>
        <w:ind w:left="990"/>
        <w:rPr>
          <w:rFonts w:ascii="Times New Roman" w:hAnsi="Times New Roman" w:cs="Times New Roman"/>
          <w:sz w:val="22"/>
          <w:szCs w:val="22"/>
        </w:rPr>
      </w:pPr>
      <w:r w:rsidRPr="009A0179">
        <w:rPr>
          <w:rFonts w:ascii="Times New Roman" w:hAnsi="Times New Roman" w:cs="Times New Roman"/>
          <w:sz w:val="22"/>
          <w:szCs w:val="22"/>
        </w:rPr>
        <w:t>(i) any business entity in which:</w:t>
      </w:r>
    </w:p>
    <w:p w14:paraId="184BE4BB" w14:textId="77777777" w:rsidR="00F7092C" w:rsidRPr="009A0179" w:rsidRDefault="00F7092C" w:rsidP="00F7092C">
      <w:pPr>
        <w:pStyle w:val="FootnoteText"/>
        <w:ind w:left="1440" w:hanging="180"/>
        <w:rPr>
          <w:rFonts w:ascii="Times New Roman" w:hAnsi="Times New Roman" w:cs="Times New Roman"/>
          <w:sz w:val="22"/>
          <w:szCs w:val="22"/>
        </w:rPr>
      </w:pPr>
      <w:r w:rsidRPr="009A0179">
        <w:rPr>
          <w:rFonts w:ascii="Times New Roman" w:hAnsi="Times New Roman" w:cs="Times New Roman"/>
          <w:sz w:val="22"/>
          <w:szCs w:val="22"/>
        </w:rPr>
        <w:t>(A) the public servant has a financial interest of which the public servant might reasonably be expected to know; or</w:t>
      </w:r>
    </w:p>
    <w:p w14:paraId="32929222" w14:textId="77777777" w:rsidR="00F7092C" w:rsidRPr="009A0179" w:rsidRDefault="00F7092C" w:rsidP="00F7092C">
      <w:pPr>
        <w:pStyle w:val="FootnoteText"/>
        <w:ind w:left="1440" w:hanging="180"/>
        <w:rPr>
          <w:rFonts w:ascii="Times New Roman" w:hAnsi="Times New Roman" w:cs="Times New Roman"/>
          <w:sz w:val="22"/>
          <w:szCs w:val="22"/>
        </w:rPr>
      </w:pPr>
      <w:r w:rsidRPr="009A0179">
        <w:rPr>
          <w:rFonts w:ascii="Times New Roman" w:hAnsi="Times New Roman" w:cs="Times New Roman"/>
          <w:sz w:val="22"/>
          <w:szCs w:val="22"/>
        </w:rPr>
        <w:t>(B) to the public servant’s knowledge, a disqualifying relative has a financial interest;</w:t>
      </w:r>
    </w:p>
    <w:p w14:paraId="3BFCDEAB" w14:textId="77777777" w:rsidR="00F7092C" w:rsidRPr="009A0179" w:rsidRDefault="00F7092C" w:rsidP="00F7092C">
      <w:pPr>
        <w:pStyle w:val="FootnoteText"/>
        <w:ind w:left="990"/>
        <w:rPr>
          <w:rFonts w:ascii="Times New Roman" w:hAnsi="Times New Roman" w:cs="Times New Roman"/>
          <w:sz w:val="22"/>
          <w:szCs w:val="22"/>
        </w:rPr>
      </w:pPr>
      <w:r w:rsidRPr="009A0179">
        <w:rPr>
          <w:rFonts w:ascii="Times New Roman" w:hAnsi="Times New Roman" w:cs="Times New Roman"/>
          <w:sz w:val="22"/>
          <w:szCs w:val="22"/>
        </w:rPr>
        <w:t>(ii) any business entity in which:</w:t>
      </w:r>
    </w:p>
    <w:p w14:paraId="6EF7286D" w14:textId="77777777" w:rsidR="00F7092C" w:rsidRPr="009A0179" w:rsidRDefault="00F7092C" w:rsidP="00F7092C">
      <w:pPr>
        <w:pStyle w:val="FootnoteText"/>
        <w:ind w:left="1440" w:hanging="180"/>
        <w:rPr>
          <w:rFonts w:ascii="Times New Roman" w:hAnsi="Times New Roman" w:cs="Times New Roman"/>
          <w:sz w:val="22"/>
          <w:szCs w:val="22"/>
        </w:rPr>
      </w:pPr>
      <w:r w:rsidRPr="009A0179">
        <w:rPr>
          <w:rFonts w:ascii="Times New Roman" w:hAnsi="Times New Roman" w:cs="Times New Roman"/>
          <w:sz w:val="22"/>
          <w:szCs w:val="22"/>
        </w:rPr>
        <w:t>(A) the public servant is a partner, officer, director, trustee, employee, or agent; or</w:t>
      </w:r>
    </w:p>
    <w:p w14:paraId="1AD6C36E" w14:textId="77777777" w:rsidR="00F7092C" w:rsidRPr="009A0179" w:rsidRDefault="00F7092C" w:rsidP="00F7092C">
      <w:pPr>
        <w:pStyle w:val="FootnoteText"/>
        <w:ind w:left="1440" w:hanging="180"/>
        <w:rPr>
          <w:rFonts w:ascii="Times New Roman" w:hAnsi="Times New Roman" w:cs="Times New Roman"/>
          <w:sz w:val="22"/>
          <w:szCs w:val="22"/>
        </w:rPr>
      </w:pPr>
      <w:r w:rsidRPr="009A0179">
        <w:rPr>
          <w:rFonts w:ascii="Times New Roman" w:hAnsi="Times New Roman" w:cs="Times New Roman"/>
          <w:sz w:val="22"/>
          <w:szCs w:val="22"/>
        </w:rPr>
        <w:t>(B) to the public servant’s knowledge, a disqualifying relative is a partner, officer, director, trustee, employee, or agent;</w:t>
      </w:r>
    </w:p>
    <w:p w14:paraId="3C1400BE" w14:textId="77777777" w:rsidR="00F7092C" w:rsidRPr="009A0179" w:rsidRDefault="00F7092C" w:rsidP="00F7092C">
      <w:pPr>
        <w:pStyle w:val="FootnoteText"/>
        <w:ind w:left="990"/>
        <w:rPr>
          <w:rFonts w:ascii="Times New Roman" w:hAnsi="Times New Roman" w:cs="Times New Roman"/>
          <w:sz w:val="22"/>
          <w:szCs w:val="22"/>
        </w:rPr>
      </w:pPr>
      <w:r w:rsidRPr="009A0179">
        <w:rPr>
          <w:rFonts w:ascii="Times New Roman" w:hAnsi="Times New Roman" w:cs="Times New Roman"/>
          <w:sz w:val="22"/>
          <w:szCs w:val="22"/>
        </w:rPr>
        <w:t>(iii) any business entity with which:</w:t>
      </w:r>
    </w:p>
    <w:p w14:paraId="666D5230" w14:textId="77777777" w:rsidR="00F7092C" w:rsidRPr="009A0179" w:rsidRDefault="00F7092C" w:rsidP="00F7092C">
      <w:pPr>
        <w:pStyle w:val="FootnoteText"/>
        <w:ind w:left="1260"/>
        <w:rPr>
          <w:rFonts w:ascii="Times New Roman" w:hAnsi="Times New Roman" w:cs="Times New Roman"/>
          <w:sz w:val="22"/>
          <w:szCs w:val="22"/>
        </w:rPr>
      </w:pPr>
      <w:r w:rsidRPr="009A0179">
        <w:rPr>
          <w:rFonts w:ascii="Times New Roman" w:hAnsi="Times New Roman" w:cs="Times New Roman"/>
          <w:sz w:val="22"/>
          <w:szCs w:val="22"/>
        </w:rPr>
        <w:t>(A) the public servant has applied for a position, is negotiating employment, or has arranged prospective employment; or</w:t>
      </w:r>
    </w:p>
    <w:p w14:paraId="0AF6DB20" w14:textId="77777777" w:rsidR="00F7092C" w:rsidRPr="009A0179" w:rsidRDefault="00F7092C" w:rsidP="00F7092C">
      <w:pPr>
        <w:pStyle w:val="FootnoteText"/>
        <w:ind w:left="1260"/>
        <w:rPr>
          <w:rFonts w:ascii="Times New Roman" w:hAnsi="Times New Roman" w:cs="Times New Roman"/>
          <w:sz w:val="22"/>
          <w:szCs w:val="22"/>
        </w:rPr>
      </w:pPr>
      <w:r w:rsidRPr="009A0179">
        <w:rPr>
          <w:rFonts w:ascii="Times New Roman" w:hAnsi="Times New Roman" w:cs="Times New Roman"/>
          <w:sz w:val="22"/>
          <w:szCs w:val="22"/>
        </w:rPr>
        <w:t>(B) to the public servant’s knowledge, a disqualifying relative has applied fora position, is negotiating employment, or has arranged prospective employment;</w:t>
      </w:r>
    </w:p>
    <w:p w14:paraId="3B410C61" w14:textId="77777777" w:rsidR="00F7092C" w:rsidRPr="009A0179" w:rsidRDefault="00F7092C" w:rsidP="00F7092C">
      <w:pPr>
        <w:pStyle w:val="FootnoteText"/>
        <w:ind w:left="990"/>
        <w:rPr>
          <w:rFonts w:ascii="Times New Roman" w:hAnsi="Times New Roman" w:cs="Times New Roman"/>
          <w:sz w:val="22"/>
          <w:szCs w:val="22"/>
        </w:rPr>
      </w:pPr>
      <w:r w:rsidRPr="009A0179">
        <w:rPr>
          <w:rFonts w:ascii="Times New Roman" w:hAnsi="Times New Roman" w:cs="Times New Roman"/>
          <w:sz w:val="22"/>
          <w:szCs w:val="22"/>
        </w:rPr>
        <w:t>(iv) any business entity that is a party to a contract with:</w:t>
      </w:r>
    </w:p>
    <w:p w14:paraId="4984B017" w14:textId="77777777" w:rsidR="00F7092C" w:rsidRPr="009A0179" w:rsidRDefault="00F7092C" w:rsidP="00F7092C">
      <w:pPr>
        <w:pStyle w:val="FootnoteText"/>
        <w:ind w:left="1440" w:hanging="270"/>
        <w:rPr>
          <w:rFonts w:ascii="Times New Roman" w:hAnsi="Times New Roman" w:cs="Times New Roman"/>
          <w:sz w:val="22"/>
          <w:szCs w:val="22"/>
        </w:rPr>
      </w:pPr>
      <w:r w:rsidRPr="009A0179">
        <w:rPr>
          <w:rFonts w:ascii="Times New Roman" w:hAnsi="Times New Roman" w:cs="Times New Roman"/>
          <w:sz w:val="22"/>
          <w:szCs w:val="22"/>
        </w:rPr>
        <w:t>(A) the public servant, if the contract could reasonably be expected to result in a conflict between the private interests of the public servant and the public servant’s official City duties; or</w:t>
      </w:r>
    </w:p>
    <w:p w14:paraId="02644DCF" w14:textId="77777777" w:rsidR="00F7092C" w:rsidRPr="009A0179" w:rsidRDefault="00F7092C" w:rsidP="00F7092C">
      <w:pPr>
        <w:pStyle w:val="FootnoteText"/>
        <w:ind w:left="1440" w:hanging="270"/>
        <w:rPr>
          <w:rFonts w:ascii="Times New Roman" w:hAnsi="Times New Roman" w:cs="Times New Roman"/>
          <w:sz w:val="22"/>
          <w:szCs w:val="22"/>
        </w:rPr>
      </w:pPr>
      <w:r w:rsidRPr="009A0179">
        <w:rPr>
          <w:rFonts w:ascii="Times New Roman" w:hAnsi="Times New Roman" w:cs="Times New Roman"/>
          <w:sz w:val="22"/>
          <w:szCs w:val="22"/>
        </w:rPr>
        <w:t>(B) to the public servant’s knowledge, a disqualifying relative, if the contract could reasonably be expected to result in a conflict between the private interests of the public servant or disqualifying relative and the public servant’s official City duties;</w:t>
      </w:r>
    </w:p>
    <w:p w14:paraId="5D099D71" w14:textId="77777777" w:rsidR="00F7092C" w:rsidRPr="009A0179" w:rsidRDefault="00F7092C" w:rsidP="00F7092C">
      <w:pPr>
        <w:pStyle w:val="FootnoteText"/>
        <w:ind w:left="1440" w:hanging="450"/>
        <w:rPr>
          <w:rFonts w:ascii="Times New Roman" w:hAnsi="Times New Roman" w:cs="Times New Roman"/>
          <w:sz w:val="22"/>
          <w:szCs w:val="22"/>
        </w:rPr>
      </w:pPr>
      <w:r w:rsidRPr="009A0179">
        <w:rPr>
          <w:rFonts w:ascii="Times New Roman" w:hAnsi="Times New Roman" w:cs="Times New Roman"/>
          <w:sz w:val="22"/>
          <w:szCs w:val="22"/>
        </w:rPr>
        <w:t>(v)</w:t>
      </w:r>
      <w:r w:rsidRPr="009A0179">
        <w:rPr>
          <w:rFonts w:ascii="Times New Roman" w:hAnsi="Times New Roman" w:cs="Times New Roman"/>
          <w:sz w:val="22"/>
          <w:szCs w:val="22"/>
        </w:rPr>
        <w:tab/>
        <w:t>any business entity in which a financial interest is held by another business entity in which the public servant has a financial interest, if the public servant might reasonably be expected to know of both financial interests;</w:t>
      </w:r>
    </w:p>
    <w:p w14:paraId="54E9EE70" w14:textId="77777777" w:rsidR="00F7092C" w:rsidRPr="009A0179" w:rsidRDefault="00F7092C" w:rsidP="00F7092C">
      <w:pPr>
        <w:pStyle w:val="FootnoteText"/>
        <w:ind w:left="1440" w:hanging="450"/>
        <w:rPr>
          <w:rFonts w:ascii="Times New Roman" w:hAnsi="Times New Roman" w:cs="Times New Roman"/>
          <w:sz w:val="22"/>
          <w:szCs w:val="22"/>
        </w:rPr>
      </w:pPr>
      <w:r w:rsidRPr="009A0179">
        <w:rPr>
          <w:rFonts w:ascii="Times New Roman" w:hAnsi="Times New Roman" w:cs="Times New Roman"/>
          <w:sz w:val="22"/>
          <w:szCs w:val="22"/>
        </w:rPr>
        <w:t>(vi)</w:t>
      </w:r>
      <w:r w:rsidRPr="009A0179">
        <w:rPr>
          <w:rFonts w:ascii="Times New Roman" w:hAnsi="Times New Roman" w:cs="Times New Roman"/>
          <w:sz w:val="22"/>
          <w:szCs w:val="22"/>
        </w:rPr>
        <w:tab/>
        <w:t>any business entity in which a financial interest is held by another business entity in which a disqualifying relative has a financial interest, if the public servant knows of both financial interests;</w:t>
      </w:r>
    </w:p>
    <w:p w14:paraId="2D6D2F3B" w14:textId="77777777" w:rsidR="00F7092C" w:rsidRPr="009A0179" w:rsidRDefault="00F7092C" w:rsidP="00F7092C">
      <w:pPr>
        <w:pStyle w:val="FootnoteText"/>
        <w:ind w:left="1440" w:hanging="450"/>
        <w:rPr>
          <w:rFonts w:ascii="Times New Roman" w:hAnsi="Times New Roman" w:cs="Times New Roman"/>
          <w:sz w:val="22"/>
          <w:szCs w:val="22"/>
        </w:rPr>
      </w:pPr>
      <w:r w:rsidRPr="009A0179">
        <w:rPr>
          <w:rFonts w:ascii="Times New Roman" w:hAnsi="Times New Roman" w:cs="Times New Roman"/>
          <w:sz w:val="22"/>
          <w:szCs w:val="22"/>
        </w:rPr>
        <w:t>(vii)</w:t>
      </w:r>
      <w:r w:rsidRPr="009A0179">
        <w:rPr>
          <w:rFonts w:ascii="Times New Roman" w:hAnsi="Times New Roman" w:cs="Times New Roman"/>
          <w:sz w:val="22"/>
          <w:szCs w:val="22"/>
        </w:rPr>
        <w:tab/>
        <w:t>any business entity that has a financial interest in another business entity in which the public servant also has a financial interest, if the public servant might reasonably be expected to know of both financial interests;</w:t>
      </w:r>
    </w:p>
    <w:p w14:paraId="50B9BD87" w14:textId="77777777" w:rsidR="00F7092C" w:rsidRPr="009A0179" w:rsidRDefault="00F7092C" w:rsidP="00F7092C">
      <w:pPr>
        <w:pStyle w:val="FootnoteText"/>
        <w:ind w:left="1440" w:hanging="450"/>
        <w:rPr>
          <w:rFonts w:ascii="Times New Roman" w:hAnsi="Times New Roman" w:cs="Times New Roman"/>
          <w:sz w:val="22"/>
          <w:szCs w:val="22"/>
        </w:rPr>
      </w:pPr>
      <w:r w:rsidRPr="009A0179">
        <w:rPr>
          <w:rFonts w:ascii="Times New Roman" w:hAnsi="Times New Roman" w:cs="Times New Roman"/>
          <w:sz w:val="22"/>
          <w:szCs w:val="22"/>
        </w:rPr>
        <w:t>(viii)</w:t>
      </w:r>
      <w:r w:rsidRPr="009A0179">
        <w:rPr>
          <w:rFonts w:ascii="Times New Roman" w:hAnsi="Times New Roman" w:cs="Times New Roman"/>
          <w:sz w:val="22"/>
          <w:szCs w:val="22"/>
        </w:rPr>
        <w:tab/>
        <w:t>any business entity that has a financial interest in another business entity in which a disqualifying relative also has a financial interest, if the public servant knows of both financial interests; or</w:t>
      </w:r>
    </w:p>
    <w:p w14:paraId="00A8CEBF" w14:textId="77777777" w:rsidR="00F7092C" w:rsidRPr="009A0179" w:rsidRDefault="00F7092C" w:rsidP="00F7092C">
      <w:pPr>
        <w:pStyle w:val="FootnoteText"/>
        <w:ind w:left="1440" w:hanging="450"/>
        <w:rPr>
          <w:rFonts w:ascii="Times New Roman" w:hAnsi="Times New Roman" w:cs="Times New Roman"/>
          <w:sz w:val="22"/>
          <w:szCs w:val="22"/>
        </w:rPr>
      </w:pPr>
      <w:r w:rsidRPr="009A0179">
        <w:rPr>
          <w:rFonts w:ascii="Times New Roman" w:hAnsi="Times New Roman" w:cs="Times New Roman"/>
          <w:sz w:val="22"/>
          <w:szCs w:val="22"/>
        </w:rPr>
        <w:t>(ix)</w:t>
      </w:r>
      <w:r w:rsidRPr="009A0179">
        <w:rPr>
          <w:rFonts w:ascii="Times New Roman" w:hAnsi="Times New Roman" w:cs="Times New Roman"/>
          <w:sz w:val="22"/>
          <w:szCs w:val="22"/>
        </w:rPr>
        <w:tab/>
        <w:t>any business entity that, to the public servant’s knowledge, is a creditor or obligee of the public servant or a disqualifying relative and that, as a creditor or obligee, is in a position to affect directly and substantially the interest of the public servant or disqualifying relative.</w:t>
      </w:r>
    </w:p>
    <w:p w14:paraId="67101BAC" w14:textId="77777777" w:rsidR="00F7092C" w:rsidRPr="009A0179" w:rsidRDefault="00F7092C" w:rsidP="00F7092C">
      <w:pPr>
        <w:pStyle w:val="EndnoteText"/>
        <w:rPr>
          <w:sz w:val="22"/>
          <w:szCs w:val="22"/>
        </w:rPr>
      </w:pPr>
    </w:p>
  </w:endnote>
  <w:endnote w:id="2">
    <w:p w14:paraId="232C26E5" w14:textId="77777777" w:rsidR="00F7092C" w:rsidRPr="009A0179" w:rsidRDefault="00F7092C" w:rsidP="00F7092C">
      <w:pPr>
        <w:pStyle w:val="FootnoteText"/>
        <w:rPr>
          <w:rFonts w:ascii="Times New Roman" w:hAnsi="Times New Roman" w:cs="Times New Roman"/>
          <w:sz w:val="22"/>
          <w:szCs w:val="22"/>
        </w:rPr>
      </w:pPr>
      <w:r w:rsidRPr="009A0179">
        <w:rPr>
          <w:rStyle w:val="EndnoteReference"/>
          <w:sz w:val="22"/>
          <w:szCs w:val="22"/>
        </w:rPr>
        <w:endnoteRef/>
      </w:r>
      <w:r w:rsidRPr="009A0179">
        <w:rPr>
          <w:rFonts w:ascii="Times New Roman" w:hAnsi="Times New Roman" w:cs="Times New Roman"/>
          <w:b/>
          <w:bCs/>
          <w:sz w:val="22"/>
          <w:szCs w:val="22"/>
        </w:rPr>
        <w:t>§ 6-11.  Prohibited employment, interests.</w:t>
      </w:r>
      <w:r w:rsidRPr="009A0179">
        <w:rPr>
          <w:rFonts w:ascii="Times New Roman" w:hAnsi="Times New Roman" w:cs="Times New Roman"/>
          <w:sz w:val="22"/>
          <w:szCs w:val="22"/>
        </w:rPr>
        <w:t xml:space="preserve"> Except as otherwise provided in this Part III, a public servant may not:</w:t>
      </w:r>
    </w:p>
    <w:p w14:paraId="6FDCD2F7" w14:textId="77777777" w:rsidR="00F7092C" w:rsidRPr="009A0179" w:rsidRDefault="00F7092C" w:rsidP="00F7092C">
      <w:pPr>
        <w:pStyle w:val="FootnoteText"/>
        <w:ind w:left="360"/>
        <w:rPr>
          <w:rFonts w:ascii="Times New Roman" w:hAnsi="Times New Roman" w:cs="Times New Roman"/>
          <w:sz w:val="22"/>
          <w:szCs w:val="22"/>
        </w:rPr>
      </w:pPr>
      <w:r w:rsidRPr="009A0179">
        <w:rPr>
          <w:rFonts w:ascii="Times New Roman" w:hAnsi="Times New Roman" w:cs="Times New Roman"/>
          <w:sz w:val="22"/>
          <w:szCs w:val="22"/>
        </w:rPr>
        <w:t>(1)</w:t>
      </w:r>
      <w:r w:rsidRPr="009A0179">
        <w:rPr>
          <w:rFonts w:ascii="Times New Roman" w:hAnsi="Times New Roman" w:cs="Times New Roman"/>
          <w:sz w:val="22"/>
          <w:szCs w:val="22"/>
        </w:rPr>
        <w:tab/>
        <w:t>be employed by or have a financial interest in any person that is subject to the authority of that public servant or of the City agency with which the public servant is affiliated;</w:t>
      </w:r>
    </w:p>
    <w:p w14:paraId="05963B48" w14:textId="77777777" w:rsidR="00F7092C" w:rsidRPr="009A0179" w:rsidRDefault="00F7092C" w:rsidP="00F7092C">
      <w:pPr>
        <w:pStyle w:val="FootnoteText"/>
        <w:ind w:left="360"/>
        <w:rPr>
          <w:rFonts w:ascii="Times New Roman" w:hAnsi="Times New Roman" w:cs="Times New Roman"/>
          <w:sz w:val="22"/>
          <w:szCs w:val="22"/>
        </w:rPr>
      </w:pPr>
      <w:r w:rsidRPr="009A0179">
        <w:rPr>
          <w:rFonts w:ascii="Times New Roman" w:hAnsi="Times New Roman" w:cs="Times New Roman"/>
          <w:sz w:val="22"/>
          <w:szCs w:val="22"/>
        </w:rPr>
        <w:t>(2)</w:t>
      </w:r>
      <w:r w:rsidRPr="009A0179">
        <w:rPr>
          <w:rFonts w:ascii="Times New Roman" w:hAnsi="Times New Roman" w:cs="Times New Roman"/>
          <w:sz w:val="22"/>
          <w:szCs w:val="22"/>
        </w:rPr>
        <w:tab/>
        <w:t>be employed by or have a financial interest in any person that is negotiating or has entered into:</w:t>
      </w:r>
    </w:p>
    <w:p w14:paraId="6F6CDBD8" w14:textId="77777777" w:rsidR="00F7092C" w:rsidRPr="009A0179" w:rsidRDefault="00F7092C" w:rsidP="00F7092C">
      <w:pPr>
        <w:pStyle w:val="FootnoteText"/>
        <w:ind w:left="360" w:firstLine="360"/>
        <w:rPr>
          <w:rFonts w:ascii="Times New Roman" w:hAnsi="Times New Roman" w:cs="Times New Roman"/>
          <w:sz w:val="22"/>
          <w:szCs w:val="22"/>
        </w:rPr>
      </w:pPr>
      <w:r w:rsidRPr="009A0179">
        <w:rPr>
          <w:rFonts w:ascii="Times New Roman" w:hAnsi="Times New Roman" w:cs="Times New Roman"/>
          <w:sz w:val="22"/>
          <w:szCs w:val="22"/>
        </w:rPr>
        <w:t>(i)</w:t>
      </w:r>
      <w:r w:rsidRPr="009A0179">
        <w:rPr>
          <w:rFonts w:ascii="Times New Roman" w:hAnsi="Times New Roman" w:cs="Times New Roman"/>
          <w:sz w:val="22"/>
          <w:szCs w:val="22"/>
        </w:rPr>
        <w:tab/>
        <w:t>a contract with the City or an agency of the City, if:</w:t>
      </w:r>
    </w:p>
    <w:p w14:paraId="3E3AF17E" w14:textId="77777777" w:rsidR="00F7092C" w:rsidRPr="009A0179" w:rsidRDefault="00F7092C" w:rsidP="00F7092C">
      <w:pPr>
        <w:pStyle w:val="FootnoteText"/>
        <w:ind w:left="1080"/>
        <w:rPr>
          <w:rFonts w:ascii="Times New Roman" w:hAnsi="Times New Roman" w:cs="Times New Roman"/>
          <w:sz w:val="22"/>
          <w:szCs w:val="22"/>
        </w:rPr>
      </w:pPr>
      <w:r w:rsidRPr="009A0179">
        <w:rPr>
          <w:rFonts w:ascii="Times New Roman" w:hAnsi="Times New Roman" w:cs="Times New Roman"/>
          <w:sz w:val="22"/>
          <w:szCs w:val="22"/>
        </w:rPr>
        <w:t>(A)</w:t>
      </w:r>
      <w:r w:rsidRPr="009A0179">
        <w:rPr>
          <w:rFonts w:ascii="Times New Roman" w:hAnsi="Times New Roman" w:cs="Times New Roman"/>
          <w:sz w:val="22"/>
          <w:szCs w:val="22"/>
        </w:rPr>
        <w:tab/>
        <w:t xml:space="preserve">the contract is with, for the benefit of, or to be administered by the agency with which the public servant is affiliated; </w:t>
      </w:r>
    </w:p>
    <w:p w14:paraId="764F4AB5" w14:textId="77777777" w:rsidR="00F7092C" w:rsidRPr="009A0179" w:rsidRDefault="00F7092C" w:rsidP="00F7092C">
      <w:pPr>
        <w:pStyle w:val="FootnoteText"/>
        <w:ind w:left="1080"/>
        <w:rPr>
          <w:rFonts w:ascii="Times New Roman" w:hAnsi="Times New Roman" w:cs="Times New Roman"/>
          <w:sz w:val="22"/>
          <w:szCs w:val="22"/>
        </w:rPr>
      </w:pPr>
      <w:r w:rsidRPr="009A0179">
        <w:rPr>
          <w:rFonts w:ascii="Times New Roman" w:hAnsi="Times New Roman" w:cs="Times New Roman"/>
          <w:sz w:val="22"/>
          <w:szCs w:val="22"/>
        </w:rPr>
        <w:t>(B)</w:t>
      </w:r>
      <w:r w:rsidRPr="009A0179">
        <w:rPr>
          <w:rFonts w:ascii="Times New Roman" w:hAnsi="Times New Roman" w:cs="Times New Roman"/>
          <w:sz w:val="22"/>
          <w:szCs w:val="22"/>
        </w:rPr>
        <w:tab/>
        <w:t xml:space="preserve">the public servant’s duties for the City include matters substantially relating to or affecting the subject matter of the contract and the contract binds or purports to bind the City to pay more than $1,000; or </w:t>
      </w:r>
    </w:p>
    <w:p w14:paraId="5AF1FD16" w14:textId="77777777" w:rsidR="00F7092C" w:rsidRPr="009A0179" w:rsidRDefault="00F7092C" w:rsidP="00F7092C">
      <w:pPr>
        <w:pStyle w:val="FootnoteText"/>
        <w:ind w:left="1080"/>
        <w:rPr>
          <w:rFonts w:ascii="Times New Roman" w:hAnsi="Times New Roman" w:cs="Times New Roman"/>
          <w:sz w:val="22"/>
          <w:szCs w:val="22"/>
        </w:rPr>
      </w:pPr>
      <w:r w:rsidRPr="009A0179">
        <w:rPr>
          <w:rFonts w:ascii="Times New Roman" w:hAnsi="Times New Roman" w:cs="Times New Roman"/>
          <w:sz w:val="22"/>
          <w:szCs w:val="22"/>
        </w:rPr>
        <w:t>(C)</w:t>
      </w:r>
      <w:r w:rsidRPr="009A0179">
        <w:rPr>
          <w:rFonts w:ascii="Times New Roman" w:hAnsi="Times New Roman" w:cs="Times New Roman"/>
          <w:sz w:val="22"/>
          <w:szCs w:val="22"/>
        </w:rPr>
        <w:tab/>
        <w:t>for any other contract, the public servant fails to timely disclose to the Ethics Board and the procuring agencies, as required by rule or regulation of the Ethics Board, his or her employment by or financial interest in the person who is negotiating or has entered into the contract; or</w:t>
      </w:r>
    </w:p>
    <w:p w14:paraId="10870E3C" w14:textId="77777777" w:rsidR="00F7092C" w:rsidRPr="009A0179" w:rsidRDefault="00F7092C" w:rsidP="00F7092C">
      <w:pPr>
        <w:pStyle w:val="FootnoteText"/>
        <w:ind w:left="720" w:firstLine="360"/>
        <w:rPr>
          <w:rFonts w:ascii="Times New Roman" w:hAnsi="Times New Roman" w:cs="Times New Roman"/>
          <w:sz w:val="22"/>
          <w:szCs w:val="22"/>
        </w:rPr>
      </w:pPr>
      <w:r w:rsidRPr="009A0179">
        <w:rPr>
          <w:rFonts w:ascii="Times New Roman" w:hAnsi="Times New Roman" w:cs="Times New Roman"/>
          <w:sz w:val="22"/>
          <w:szCs w:val="22"/>
        </w:rPr>
        <w:t>(ii)</w:t>
      </w:r>
      <w:r w:rsidRPr="009A0179">
        <w:rPr>
          <w:rFonts w:ascii="Times New Roman" w:hAnsi="Times New Roman" w:cs="Times New Roman"/>
          <w:sz w:val="22"/>
          <w:szCs w:val="22"/>
        </w:rPr>
        <w:tab/>
        <w:t>a subcontract on a contract described in this item (2); or</w:t>
      </w:r>
    </w:p>
    <w:p w14:paraId="2839D416" w14:textId="27487FC0" w:rsidR="00F7092C" w:rsidRPr="009A0179" w:rsidRDefault="00F7092C" w:rsidP="00E006A3">
      <w:pPr>
        <w:pStyle w:val="FootnoteText"/>
        <w:ind w:left="720" w:hanging="360"/>
        <w:rPr>
          <w:rFonts w:ascii="Times New Roman" w:hAnsi="Times New Roman" w:cs="Times New Roman"/>
          <w:sz w:val="22"/>
          <w:szCs w:val="22"/>
        </w:rPr>
      </w:pPr>
      <w:r w:rsidRPr="009A0179">
        <w:rPr>
          <w:rFonts w:ascii="Times New Roman" w:hAnsi="Times New Roman" w:cs="Times New Roman"/>
          <w:sz w:val="22"/>
          <w:szCs w:val="22"/>
        </w:rPr>
        <w:t>(3)  hold any other employment relationship that would impair the impartiality and independent judgment of the public servant.</w:t>
      </w:r>
    </w:p>
    <w:p w14:paraId="377916DC" w14:textId="77777777" w:rsidR="00E006A3" w:rsidRPr="009A0179" w:rsidRDefault="00E006A3" w:rsidP="009A0179">
      <w:pPr>
        <w:pStyle w:val="FootnoteText"/>
        <w:ind w:left="720" w:hanging="360"/>
        <w:rPr>
          <w:rFonts w:ascii="Times New Roman" w:hAnsi="Times New Roman" w:cs="Times New Roman"/>
          <w:sz w:val="22"/>
          <w:szCs w:val="22"/>
        </w:rPr>
      </w:pPr>
    </w:p>
  </w:endnote>
  <w:endnote w:id="3">
    <w:p w14:paraId="5BCC9D1D" w14:textId="77777777" w:rsidR="00E006A3" w:rsidRPr="009A0179" w:rsidRDefault="00E006A3" w:rsidP="00E006A3">
      <w:pPr>
        <w:pStyle w:val="EndnoteText"/>
        <w:rPr>
          <w:sz w:val="22"/>
          <w:szCs w:val="22"/>
        </w:rPr>
      </w:pPr>
      <w:r w:rsidRPr="009A0179">
        <w:rPr>
          <w:rStyle w:val="EndnoteReference"/>
          <w:sz w:val="22"/>
          <w:szCs w:val="22"/>
        </w:rPr>
        <w:endnoteRef/>
      </w:r>
      <w:r w:rsidRPr="009A0179">
        <w:rPr>
          <w:sz w:val="22"/>
          <w:szCs w:val="22"/>
        </w:rPr>
        <w:t xml:space="preserve">   </w:t>
      </w:r>
      <w:r w:rsidRPr="009A0179">
        <w:rPr>
          <w:b/>
          <w:bCs/>
          <w:i/>
          <w:iCs/>
          <w:sz w:val="22"/>
          <w:szCs w:val="22"/>
        </w:rPr>
        <w:t>§ 6-36.  Prestige of office.</w:t>
      </w:r>
    </w:p>
    <w:p w14:paraId="53B4535A" w14:textId="77777777" w:rsidR="00E006A3" w:rsidRPr="009A0179" w:rsidRDefault="00E006A3" w:rsidP="009A0179">
      <w:pPr>
        <w:pStyle w:val="EndnoteText"/>
        <w:ind w:left="720"/>
        <w:rPr>
          <w:sz w:val="22"/>
          <w:szCs w:val="22"/>
        </w:rPr>
      </w:pPr>
      <w:r w:rsidRPr="009A0179">
        <w:rPr>
          <w:sz w:val="22"/>
          <w:szCs w:val="22"/>
        </w:rPr>
        <w:t>(a)</w:t>
      </w:r>
      <w:r w:rsidRPr="009A0179">
        <w:rPr>
          <w:sz w:val="22"/>
          <w:szCs w:val="22"/>
        </w:rPr>
        <w:tab/>
        <w:t>In general. A public servant may not intentionally use the prestige of his or her office or position for his or her own private gain or that of another.</w:t>
      </w:r>
    </w:p>
    <w:p w14:paraId="266E4312" w14:textId="47EE7A2A" w:rsidR="00E006A3" w:rsidRDefault="00E006A3" w:rsidP="009A0179">
      <w:pPr>
        <w:pStyle w:val="EndnoteText"/>
        <w:ind w:left="720"/>
      </w:pPr>
      <w:r w:rsidRPr="009A0179">
        <w:rPr>
          <w:sz w:val="22"/>
          <w:szCs w:val="22"/>
        </w:rPr>
        <w:t>(b)</w:t>
      </w:r>
      <w:r w:rsidRPr="009A0179">
        <w:rPr>
          <w:sz w:val="22"/>
          <w:szCs w:val="22"/>
        </w:rPr>
        <w:tab/>
        <w:t>Constituent services. The performance of usual and customary constituent services, without additional compensation, is not prohibited by this section.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D8F0" w14:textId="4DF37BA7" w:rsidR="00976F20" w:rsidRDefault="003E1F46">
    <w:pPr>
      <w:pStyle w:val="Footer"/>
      <w:tabs>
        <w:tab w:val="left" w:pos="3480"/>
      </w:tabs>
      <w:spacing w:after="40"/>
      <w:rPr>
        <w:rFonts w:ascii="Times New Roman" w:hAnsi="Times New Roman" w:cs="Times New Roman"/>
        <w:i/>
      </w:rPr>
    </w:pPr>
    <w:r>
      <w:rPr>
        <w:rFonts w:ascii="Times New Roman" w:hAnsi="Times New Roman" w:cs="Times New Roman"/>
        <w:i/>
      </w:rPr>
      <w:t>____________________________________________________________________________________</w:t>
    </w:r>
  </w:p>
  <w:p w14:paraId="0A1D4848" w14:textId="77777777" w:rsidR="00976F20" w:rsidRDefault="003E1F46">
    <w:pPr>
      <w:pStyle w:val="Footer"/>
      <w:spacing w:after="40"/>
      <w:jc w:val="center"/>
      <w:rPr>
        <w:rFonts w:ascii="Times New Roman" w:hAnsi="Times New Roman" w:cs="Times New Roman"/>
        <w:b/>
        <w:bCs/>
        <w:i/>
      </w:rPr>
    </w:pPr>
    <w:r>
      <w:rPr>
        <w:rFonts w:ascii="Times New Roman" w:hAnsi="Times New Roman" w:cs="Times New Roman"/>
        <w:b/>
        <w:bCs/>
        <w:i/>
      </w:rPr>
      <w:t>Baltimore City Board of Ethics</w:t>
    </w:r>
  </w:p>
  <w:p w14:paraId="206AA483" w14:textId="77777777" w:rsidR="00976F20" w:rsidRDefault="003E1F46">
    <w:pPr>
      <w:pStyle w:val="Footer"/>
      <w:spacing w:after="40"/>
      <w:jc w:val="center"/>
      <w:rPr>
        <w:rFonts w:ascii="Times New Roman" w:hAnsi="Times New Roman" w:cs="Times New Roman"/>
        <w:iCs/>
      </w:rPr>
    </w:pPr>
    <w:r>
      <w:rPr>
        <w:rFonts w:ascii="Times New Roman" w:hAnsi="Times New Roman" w:cs="Times New Roman"/>
        <w:iCs/>
      </w:rPr>
      <w:t>100 N. Holliday St., Suite 635 / Baltimore, MD 21202</w:t>
    </w:r>
  </w:p>
  <w:p w14:paraId="3635EB77" w14:textId="77777777" w:rsidR="00976F20" w:rsidRDefault="009A0179">
    <w:pPr>
      <w:pStyle w:val="Footer"/>
      <w:spacing w:after="40"/>
      <w:rPr>
        <w:rFonts w:ascii="Times New Roman" w:hAnsi="Times New Roman" w:cs="Times New Roman"/>
        <w:iCs/>
      </w:rPr>
    </w:pPr>
    <w:hyperlink r:id="rId1" w:history="1">
      <w:r w:rsidR="003E1F46">
        <w:rPr>
          <w:rStyle w:val="Hyperlink"/>
          <w:rFonts w:ascii="Times New Roman" w:hAnsi="Times New Roman" w:cs="Times New Roman"/>
          <w:iCs/>
        </w:rPr>
        <w:t>ethics@baltimorecity.gov</w:t>
      </w:r>
    </w:hyperlink>
    <w:r w:rsidR="003E1F46">
      <w:rPr>
        <w:rFonts w:ascii="Times New Roman" w:hAnsi="Times New Roman" w:cs="Times New Roman"/>
        <w:iCs/>
      </w:rPr>
      <w:tab/>
    </w:r>
    <w:hyperlink r:id="rId2" w:history="1">
      <w:r w:rsidR="003E1F46">
        <w:rPr>
          <w:rStyle w:val="Hyperlink"/>
          <w:rFonts w:ascii="Times New Roman" w:hAnsi="Times New Roman" w:cs="Times New Roman"/>
          <w:iCs/>
        </w:rPr>
        <w:t>www.ethics.baltimorecity.gov</w:t>
      </w:r>
    </w:hyperlink>
    <w:r w:rsidR="003E1F46">
      <w:rPr>
        <w:rFonts w:ascii="Times New Roman" w:hAnsi="Times New Roman" w:cs="Times New Roman"/>
        <w:iCs/>
      </w:rPr>
      <w:tab/>
      <w:t>410-396-7986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CBC5" w14:textId="77777777" w:rsidR="00976F20" w:rsidRDefault="003E1F46">
    <w:pPr>
      <w:pStyle w:val="Footer"/>
      <w:tabs>
        <w:tab w:val="left" w:pos="3480"/>
      </w:tabs>
      <w:spacing w:after="40"/>
      <w:rPr>
        <w:rFonts w:ascii="Times New Roman" w:hAnsi="Times New Roman" w:cs="Times New Roman"/>
        <w:i/>
      </w:rPr>
    </w:pPr>
    <w:r>
      <w:rPr>
        <w:rFonts w:ascii="Times New Roman" w:hAnsi="Times New Roman" w:cs="Times New Roman"/>
        <w:i/>
      </w:rPr>
      <w:t>_____________________________________________________________________________________</w:t>
    </w:r>
  </w:p>
  <w:p w14:paraId="1FB0EA1C" w14:textId="77777777" w:rsidR="00976F20" w:rsidRDefault="003E1F46">
    <w:pPr>
      <w:pStyle w:val="Footer"/>
      <w:spacing w:after="40"/>
      <w:jc w:val="center"/>
      <w:rPr>
        <w:rFonts w:ascii="Times New Roman" w:hAnsi="Times New Roman" w:cs="Times New Roman"/>
        <w:b/>
        <w:bCs/>
        <w:i/>
      </w:rPr>
    </w:pPr>
    <w:r>
      <w:rPr>
        <w:rFonts w:ascii="Times New Roman" w:hAnsi="Times New Roman" w:cs="Times New Roman"/>
        <w:b/>
        <w:bCs/>
        <w:i/>
      </w:rPr>
      <w:t>Baltimore City Board of Ethics</w:t>
    </w:r>
  </w:p>
  <w:p w14:paraId="6111E7B9" w14:textId="77777777" w:rsidR="00976F20" w:rsidRDefault="003E1F46">
    <w:pPr>
      <w:pStyle w:val="Footer"/>
      <w:spacing w:after="40"/>
      <w:jc w:val="center"/>
      <w:rPr>
        <w:rFonts w:ascii="Times New Roman" w:hAnsi="Times New Roman" w:cs="Times New Roman"/>
        <w:iCs/>
      </w:rPr>
    </w:pPr>
    <w:r>
      <w:rPr>
        <w:rFonts w:ascii="Times New Roman" w:hAnsi="Times New Roman" w:cs="Times New Roman"/>
        <w:iCs/>
      </w:rPr>
      <w:t>100 N. Holliday St., Suite 635 / Baltimore, MD 21202</w:t>
    </w:r>
  </w:p>
  <w:p w14:paraId="06F37CDA" w14:textId="77777777" w:rsidR="00976F20" w:rsidRDefault="009A0179">
    <w:pPr>
      <w:pStyle w:val="Footer"/>
      <w:spacing w:after="40"/>
      <w:rPr>
        <w:rFonts w:ascii="Times New Roman" w:hAnsi="Times New Roman" w:cs="Times New Roman"/>
        <w:iCs/>
      </w:rPr>
    </w:pPr>
    <w:hyperlink r:id="rId1" w:history="1">
      <w:r w:rsidR="003E1F46">
        <w:rPr>
          <w:rStyle w:val="Hyperlink"/>
          <w:rFonts w:ascii="Times New Roman" w:hAnsi="Times New Roman" w:cs="Times New Roman"/>
          <w:iCs/>
        </w:rPr>
        <w:t>ethics@baltimorecity.gov</w:t>
      </w:r>
    </w:hyperlink>
    <w:r w:rsidR="003E1F46">
      <w:rPr>
        <w:rFonts w:ascii="Times New Roman" w:hAnsi="Times New Roman" w:cs="Times New Roman"/>
        <w:iCs/>
      </w:rPr>
      <w:tab/>
    </w:r>
    <w:hyperlink r:id="rId2" w:history="1">
      <w:r w:rsidR="003E1F46">
        <w:rPr>
          <w:rStyle w:val="Hyperlink"/>
          <w:rFonts w:ascii="Times New Roman" w:hAnsi="Times New Roman" w:cs="Times New Roman"/>
          <w:iCs/>
        </w:rPr>
        <w:t>www.ethics.baltimorecity.gov</w:t>
      </w:r>
    </w:hyperlink>
    <w:r w:rsidR="003E1F46">
      <w:rPr>
        <w:rFonts w:ascii="Times New Roman" w:hAnsi="Times New Roman" w:cs="Times New Roman"/>
        <w:iCs/>
      </w:rPr>
      <w:tab/>
      <w:t>410-396-7986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7FDA" w14:textId="77777777" w:rsidR="000C036A" w:rsidRDefault="000C036A">
      <w:pPr>
        <w:spacing w:after="0" w:line="240" w:lineRule="auto"/>
      </w:pPr>
      <w:r>
        <w:separator/>
      </w:r>
    </w:p>
  </w:footnote>
  <w:footnote w:type="continuationSeparator" w:id="0">
    <w:p w14:paraId="255DF9D0" w14:textId="77777777" w:rsidR="000C036A" w:rsidRDefault="000C036A">
      <w:pPr>
        <w:spacing w:after="0" w:line="240" w:lineRule="auto"/>
      </w:pPr>
      <w:r>
        <w:continuationSeparator/>
      </w:r>
    </w:p>
  </w:footnote>
  <w:footnote w:id="1">
    <w:p w14:paraId="1EEC9C49" w14:textId="03D7D0B0" w:rsidR="00854EA8" w:rsidRDefault="00854EA8" w:rsidP="009A0179">
      <w:pPr>
        <w:pStyle w:val="FootnoteText"/>
        <w:jc w:val="both"/>
      </w:pPr>
      <w:r>
        <w:rPr>
          <w:rStyle w:val="FootnoteReference"/>
        </w:rPr>
        <w:footnoteRef/>
      </w:r>
      <w:r>
        <w:t xml:space="preserve"> </w:t>
      </w:r>
      <w:r w:rsidRPr="009A0179">
        <w:rPr>
          <w:rFonts w:ascii="Times New Roman" w:hAnsi="Times New Roman" w:cs="Times New Roman"/>
          <w:sz w:val="22"/>
          <w:szCs w:val="22"/>
        </w:rPr>
        <w:t xml:space="preserve">Political contributions or “independent expenditures”, i.e., lawful monetary or in-kind donations to a candidate or political campaign by a qualifying natural or legal person, have long been considered political speech protected by the First Amendment. (“By definition, an independent expenditure is political speech presented to the electorate that is not coordinated with a candidate.” </w:t>
      </w:r>
      <w:r w:rsidRPr="009A0179">
        <w:rPr>
          <w:rFonts w:ascii="Times New Roman" w:hAnsi="Times New Roman" w:cs="Times New Roman"/>
          <w:i/>
          <w:iCs/>
          <w:sz w:val="22"/>
          <w:szCs w:val="22"/>
        </w:rPr>
        <w:t>See, Buckley v. Valeo</w:t>
      </w:r>
      <w:r w:rsidRPr="009A0179">
        <w:rPr>
          <w:rFonts w:ascii="Times New Roman" w:hAnsi="Times New Roman" w:cs="Times New Roman"/>
          <w:sz w:val="22"/>
          <w:szCs w:val="22"/>
        </w:rPr>
        <w:t xml:space="preserve">, 424 U.S. 1, at 46, 96 </w:t>
      </w:r>
      <w:proofErr w:type="spellStart"/>
      <w:r w:rsidRPr="009A0179">
        <w:rPr>
          <w:rFonts w:ascii="Times New Roman" w:hAnsi="Times New Roman" w:cs="Times New Roman"/>
          <w:sz w:val="22"/>
          <w:szCs w:val="22"/>
        </w:rPr>
        <w:t>S.Ct</w:t>
      </w:r>
      <w:proofErr w:type="spellEnd"/>
      <w:r w:rsidRPr="009A0179">
        <w:rPr>
          <w:rFonts w:ascii="Times New Roman" w:hAnsi="Times New Roman" w:cs="Times New Roman"/>
          <w:sz w:val="22"/>
          <w:szCs w:val="22"/>
        </w:rPr>
        <w:t xml:space="preserve">. 612, 46 L.Ed.2d 659 (1976).) Any limitation on a </w:t>
      </w:r>
      <w:proofErr w:type="gramStart"/>
      <w:r w:rsidRPr="009A0179">
        <w:rPr>
          <w:rFonts w:ascii="Times New Roman" w:hAnsi="Times New Roman" w:cs="Times New Roman"/>
          <w:sz w:val="22"/>
          <w:szCs w:val="22"/>
        </w:rPr>
        <w:t>Commissioner’s</w:t>
      </w:r>
      <w:proofErr w:type="gramEnd"/>
      <w:r w:rsidRPr="009A0179">
        <w:rPr>
          <w:rFonts w:ascii="Times New Roman" w:hAnsi="Times New Roman" w:cs="Times New Roman"/>
          <w:sz w:val="22"/>
          <w:szCs w:val="22"/>
        </w:rPr>
        <w:t xml:space="preserve"> right to freely exercise constitutionally protected political speech (including making independent expenditures) by the Ethics Law would likely be unconstitutional under </w:t>
      </w:r>
      <w:r w:rsidRPr="009A0179">
        <w:rPr>
          <w:rFonts w:ascii="Times New Roman" w:hAnsi="Times New Roman" w:cs="Times New Roman"/>
          <w:i/>
          <w:iCs/>
          <w:sz w:val="22"/>
          <w:szCs w:val="22"/>
        </w:rPr>
        <w:t>Buckley</w:t>
      </w:r>
      <w:r w:rsidRPr="009A0179">
        <w:rPr>
          <w:rFonts w:ascii="Times New Roman" w:hAnsi="Times New Roman" w:cs="Times New Roman"/>
          <w:sz w:val="22"/>
          <w:szCs w:val="22"/>
        </w:rPr>
        <w:t xml:space="preserve"> and progeny.</w:t>
      </w:r>
      <w:r w:rsidR="00204901">
        <w:rPr>
          <w:rFonts w:ascii="Times New Roman" w:hAnsi="Times New Roman" w:cs="Times New Roman"/>
          <w:sz w:val="22"/>
          <w:szCs w:val="22"/>
        </w:rPr>
        <w:t xml:space="preserve"> </w:t>
      </w:r>
      <w:r w:rsidR="00204901" w:rsidRPr="009A0179">
        <w:rPr>
          <w:rFonts w:ascii="Times New Roman" w:hAnsi="Times New Roman" w:cs="Times New Roman"/>
          <w:i/>
          <w:iCs/>
          <w:sz w:val="22"/>
          <w:szCs w:val="22"/>
        </w:rPr>
        <w:t>See also</w:t>
      </w:r>
      <w:r w:rsidR="00204901">
        <w:rPr>
          <w:rFonts w:ascii="Times New Roman" w:hAnsi="Times New Roman" w:cs="Times New Roman"/>
          <w:sz w:val="22"/>
          <w:szCs w:val="22"/>
        </w:rPr>
        <w:t xml:space="preserve">, </w:t>
      </w:r>
      <w:r w:rsidR="00204901" w:rsidRPr="00204901">
        <w:rPr>
          <w:rFonts w:ascii="Times New Roman" w:hAnsi="Times New Roman" w:cs="Times New Roman"/>
          <w:sz w:val="22"/>
          <w:szCs w:val="22"/>
        </w:rPr>
        <w:t>5 USCS § 7322 (D)</w:t>
      </w:r>
      <w:r w:rsidR="00204901">
        <w:rPr>
          <w:rFonts w:ascii="Times New Roman" w:hAnsi="Times New Roman" w:cs="Times New Roman"/>
          <w:sz w:val="22"/>
          <w:szCs w:val="22"/>
        </w:rPr>
        <w:t>.</w:t>
      </w:r>
    </w:p>
  </w:footnote>
  <w:footnote w:id="2">
    <w:p w14:paraId="50498654" w14:textId="5519A7D4" w:rsidR="00621C6B" w:rsidRPr="009A0179" w:rsidRDefault="00621C6B">
      <w:pPr>
        <w:pStyle w:val="FootnoteText"/>
        <w:rPr>
          <w:rFonts w:ascii="Times New Roman" w:hAnsi="Times New Roman" w:cs="Times New Roman"/>
          <w:sz w:val="22"/>
          <w:szCs w:val="22"/>
        </w:rPr>
      </w:pPr>
      <w:r w:rsidRPr="009A0179">
        <w:rPr>
          <w:rStyle w:val="FootnoteReference"/>
          <w:rFonts w:ascii="Times New Roman" w:hAnsi="Times New Roman" w:cs="Times New Roman"/>
          <w:sz w:val="22"/>
          <w:szCs w:val="22"/>
        </w:rPr>
        <w:footnoteRef/>
      </w:r>
      <w:r w:rsidRPr="009A0179">
        <w:rPr>
          <w:rFonts w:ascii="Times New Roman" w:hAnsi="Times New Roman" w:cs="Times New Roman"/>
          <w:sz w:val="22"/>
          <w:szCs w:val="22"/>
        </w:rPr>
        <w:t xml:space="preserve"> </w:t>
      </w:r>
      <w:hyperlink r:id="rId1" w:history="1">
        <w:r w:rsidR="00EC074A" w:rsidRPr="009A0179">
          <w:rPr>
            <w:rStyle w:val="Hyperlink"/>
            <w:rFonts w:ascii="Times New Roman" w:hAnsi="Times New Roman" w:cs="Times New Roman"/>
            <w:sz w:val="22"/>
            <w:szCs w:val="22"/>
          </w:rPr>
          <w:t>https://legislativereference.baltimorecity.gov/sites/default/files/01%20-%20Charter%20(rev%2008DEC22).pdf</w:t>
        </w:r>
      </w:hyperlink>
      <w:r w:rsidR="00EC074A" w:rsidRPr="009A0179">
        <w:rPr>
          <w:rFonts w:ascii="Times New Roman" w:hAnsi="Times New Roman" w:cs="Times New Roman"/>
          <w:sz w:val="22"/>
          <w:szCs w:val="22"/>
        </w:rPr>
        <w:t xml:space="preserve"> </w:t>
      </w:r>
      <w:bookmarkStart w:id="1" w:name="_Hlk160710663"/>
      <w:r w:rsidR="00EC074A" w:rsidRPr="009A0179">
        <w:rPr>
          <w:rFonts w:ascii="Times New Roman" w:hAnsi="Times New Roman" w:cs="Times New Roman"/>
          <w:sz w:val="22"/>
          <w:szCs w:val="22"/>
        </w:rPr>
        <w:t>(Last access: Feb. 29, 2024.)</w:t>
      </w:r>
      <w:bookmarkEnd w:id="1"/>
    </w:p>
  </w:footnote>
  <w:footnote w:id="3">
    <w:p w14:paraId="65844624" w14:textId="44B9B68B" w:rsidR="00614B85" w:rsidRDefault="00614B85">
      <w:pPr>
        <w:pStyle w:val="FootnoteText"/>
      </w:pPr>
      <w:r w:rsidRPr="009A0179">
        <w:rPr>
          <w:rStyle w:val="FootnoteReference"/>
          <w:rFonts w:ascii="Times New Roman" w:hAnsi="Times New Roman" w:cs="Times New Roman"/>
          <w:sz w:val="22"/>
          <w:szCs w:val="22"/>
        </w:rPr>
        <w:footnoteRef/>
      </w:r>
      <w:r w:rsidRPr="009A0179">
        <w:rPr>
          <w:rFonts w:ascii="Times New Roman" w:hAnsi="Times New Roman" w:cs="Times New Roman"/>
          <w:sz w:val="22"/>
          <w:szCs w:val="22"/>
        </w:rPr>
        <w:t xml:space="preserve"> </w:t>
      </w:r>
      <w:hyperlink r:id="rId2" w:history="1">
        <w:r w:rsidR="00EC074A" w:rsidRPr="009A0179">
          <w:rPr>
            <w:rStyle w:val="Hyperlink"/>
            <w:rFonts w:ascii="Times New Roman" w:hAnsi="Times New Roman" w:cs="Times New Roman"/>
            <w:sz w:val="22"/>
            <w:szCs w:val="22"/>
          </w:rPr>
          <w:t>https://legislativereference.baltimorecity.gov/sites/default/files/Art%2005%20-%20Finance_(rev%2004-26-22).pdf</w:t>
        </w:r>
      </w:hyperlink>
      <w:r w:rsidR="00EC074A" w:rsidRPr="009A0179">
        <w:rPr>
          <w:rFonts w:ascii="Times New Roman" w:hAnsi="Times New Roman" w:cs="Times New Roman"/>
          <w:sz w:val="22"/>
          <w:szCs w:val="22"/>
        </w:rPr>
        <w:t xml:space="preserve"> (Last access: Feb. 29, 2024.)</w:t>
      </w:r>
    </w:p>
  </w:footnote>
  <w:footnote w:id="4">
    <w:p w14:paraId="6971A577" w14:textId="77777777" w:rsidR="00004D8C" w:rsidRDefault="00004D8C" w:rsidP="00004D8C">
      <w:pPr>
        <w:tabs>
          <w:tab w:val="left" w:pos="1620"/>
        </w:tabs>
        <w:jc w:val="both"/>
      </w:pPr>
    </w:p>
    <w:p w14:paraId="29B04278" w14:textId="2A7519F5" w:rsidR="00004D8C" w:rsidRPr="00004D8C" w:rsidRDefault="00004D8C" w:rsidP="00004D8C">
      <w:pPr>
        <w:tabs>
          <w:tab w:val="left" w:pos="1620"/>
        </w:tabs>
        <w:jc w:val="both"/>
        <w:rPr>
          <w:rFonts w:ascii="Times New Roman" w:hAnsi="Times New Roman" w:cs="Times New Roman"/>
        </w:rPr>
      </w:pPr>
      <w:r>
        <w:rPr>
          <w:rStyle w:val="FootnoteReference"/>
        </w:rPr>
        <w:footnoteRef/>
      </w:r>
      <w:r>
        <w:t xml:space="preserve"> </w:t>
      </w:r>
      <w:r w:rsidRPr="00004D8C">
        <w:rPr>
          <w:rFonts w:ascii="Times New Roman" w:hAnsi="Times New Roman" w:cs="Times New Roman"/>
          <w:i/>
          <w:iCs/>
        </w:rPr>
        <w:t xml:space="preserve">See,  </w:t>
      </w:r>
      <w:hyperlink r:id="rId3" w:history="1">
        <w:r>
          <w:rPr>
            <w:rStyle w:val="Hyperlink"/>
          </w:rPr>
          <w:t>https://www.howardcountymd.gov/sites/default/files/2022-02/Opinion%202021-04.pdf</w:t>
        </w:r>
      </w:hyperlink>
    </w:p>
    <w:p w14:paraId="0F3CCD13" w14:textId="69F2D0B4" w:rsidR="00004D8C" w:rsidRDefault="00004D8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D388" w14:textId="77777777" w:rsidR="00976F20" w:rsidRDefault="003E1F46">
    <w:pPr>
      <w:pStyle w:val="Header"/>
      <w:rPr>
        <w:rFonts w:ascii="Times New Roman" w:hAnsi="Times New Roman" w:cs="Times New Roman"/>
        <w:i/>
      </w:rPr>
    </w:pPr>
    <w:r>
      <w:rPr>
        <w:rFonts w:ascii="Times New Roman" w:hAnsi="Times New Roman" w:cs="Times New Roman"/>
        <w:i/>
      </w:rPr>
      <w:t xml:space="preserve">Page </w:t>
    </w:r>
    <w:sdt>
      <w:sdtPr>
        <w:rPr>
          <w:rFonts w:ascii="Times New Roman" w:hAnsi="Times New Roman" w:cs="Times New Roman"/>
          <w:i/>
        </w:rPr>
        <w:id w:val="-94626908"/>
        <w:docPartObj>
          <w:docPartGallery w:val="Page Numbers (Top of Page)"/>
          <w:docPartUnique/>
        </w:docPartObj>
      </w:sdtPr>
      <w:sdtEndPr>
        <w:rPr>
          <w:noProof/>
        </w:rPr>
      </w:sdtEndPr>
      <w:sdtContent>
        <w:r>
          <w:rPr>
            <w:rFonts w:ascii="Times New Roman" w:hAnsi="Times New Roman" w:cs="Times New Roman"/>
            <w:i/>
          </w:rPr>
          <w:fldChar w:fldCharType="begin"/>
        </w:r>
        <w:r>
          <w:rPr>
            <w:rFonts w:ascii="Times New Roman" w:hAnsi="Times New Roman" w:cs="Times New Roman"/>
            <w:i/>
          </w:rPr>
          <w:instrText xml:space="preserve"> PAGE   \* MERGEFORMAT </w:instrText>
        </w:r>
        <w:r>
          <w:rPr>
            <w:rFonts w:ascii="Times New Roman" w:hAnsi="Times New Roman" w:cs="Times New Roman"/>
            <w:i/>
          </w:rPr>
          <w:fldChar w:fldCharType="separate"/>
        </w:r>
        <w:r>
          <w:rPr>
            <w:rFonts w:ascii="Times New Roman" w:hAnsi="Times New Roman" w:cs="Times New Roman"/>
            <w:i/>
          </w:rPr>
          <w:t>2</w:t>
        </w:r>
        <w:r>
          <w:rPr>
            <w:rFonts w:ascii="Times New Roman" w:hAnsi="Times New Roman" w:cs="Times New Roman"/>
            <w:i/>
            <w:noProof/>
          </w:rPr>
          <w:fldChar w:fldCharType="end"/>
        </w:r>
        <w:r>
          <w:rPr>
            <w:rFonts w:ascii="Times New Roman" w:hAnsi="Times New Roman" w:cs="Times New Roman"/>
            <w:i/>
            <w:noProof/>
          </w:rPr>
          <w:t xml:space="preserve"> of 4</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256" w:type="dxa"/>
      <w:jc w:val="center"/>
      <w:tblBorders>
        <w:left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130"/>
      <w:gridCol w:w="7126"/>
    </w:tblGrid>
    <w:tr w:rsidR="00976F20" w14:paraId="5AF6F6D1" w14:textId="77777777">
      <w:trPr>
        <w:trHeight w:val="1697"/>
        <w:jc w:val="center"/>
      </w:trPr>
      <w:tc>
        <w:tcPr>
          <w:tcW w:w="5130" w:type="dxa"/>
          <w:vAlign w:val="center"/>
        </w:tcPr>
        <w:p w14:paraId="34B654B9" w14:textId="77777777" w:rsidR="00976F20" w:rsidRDefault="003E1F46">
          <w:pPr>
            <w:pStyle w:val="Header"/>
            <w:ind w:left="-30"/>
            <w:rPr>
              <w:rFonts w:ascii="Times New Roman" w:eastAsia="Times New Roman" w:hAnsi="Times New Roman" w:cs="Times New Roman"/>
              <w:i/>
            </w:rPr>
          </w:pPr>
          <w:r>
            <w:rPr>
              <w:rFonts w:ascii="Times New Roman" w:eastAsia="Times New Roman" w:hAnsi="Times New Roman" w:cs="Times New Roman"/>
              <w:i/>
            </w:rPr>
            <w:t xml:space="preserve">      Stephan W. Fogleman, Chair</w:t>
          </w:r>
        </w:p>
        <w:p w14:paraId="6BC392BF" w14:textId="77777777" w:rsidR="00976F20" w:rsidRDefault="003E1F46">
          <w:pPr>
            <w:pStyle w:val="Header"/>
            <w:rPr>
              <w:rFonts w:ascii="Times New Roman" w:eastAsia="Times New Roman" w:hAnsi="Times New Roman" w:cs="Times New Roman"/>
              <w:i/>
            </w:rPr>
          </w:pPr>
          <w:r>
            <w:rPr>
              <w:rFonts w:ascii="Times New Roman" w:eastAsia="Times New Roman" w:hAnsi="Times New Roman" w:cs="Times New Roman"/>
              <w:i/>
            </w:rPr>
            <w:t xml:space="preserve">     Arnold Sampson</w:t>
          </w:r>
        </w:p>
        <w:p w14:paraId="268466A4" w14:textId="0E50BC14" w:rsidR="00026145" w:rsidRDefault="00026145">
          <w:pPr>
            <w:pStyle w:val="Header"/>
            <w:rPr>
              <w:rFonts w:ascii="Times New Roman" w:eastAsia="Times New Roman" w:hAnsi="Times New Roman" w:cs="Times New Roman"/>
              <w:i/>
            </w:rPr>
          </w:pPr>
          <w:r>
            <w:rPr>
              <w:rFonts w:ascii="Times New Roman" w:eastAsia="Times New Roman" w:hAnsi="Times New Roman" w:cs="Times New Roman"/>
              <w:i/>
            </w:rPr>
            <w:t xml:space="preserve">     John </w:t>
          </w:r>
          <w:r w:rsidR="00354160">
            <w:rPr>
              <w:rFonts w:ascii="Times New Roman" w:eastAsia="Times New Roman" w:hAnsi="Times New Roman" w:cs="Times New Roman"/>
              <w:i/>
            </w:rPr>
            <w:t xml:space="preserve">A. </w:t>
          </w:r>
          <w:r>
            <w:rPr>
              <w:rFonts w:ascii="Times New Roman" w:eastAsia="Times New Roman" w:hAnsi="Times New Roman" w:cs="Times New Roman"/>
              <w:i/>
            </w:rPr>
            <w:t>McAuley</w:t>
          </w:r>
        </w:p>
        <w:p w14:paraId="3924F8C2" w14:textId="6051702C" w:rsidR="0046215B" w:rsidRDefault="0046215B">
          <w:pPr>
            <w:pStyle w:val="Header"/>
            <w:rPr>
              <w:rFonts w:ascii="Times New Roman" w:eastAsia="Times New Roman" w:hAnsi="Times New Roman" w:cs="Times New Roman"/>
              <w:i/>
            </w:rPr>
          </w:pPr>
          <w:r>
            <w:rPr>
              <w:rFonts w:ascii="Times New Roman" w:eastAsia="Times New Roman" w:hAnsi="Times New Roman" w:cs="Times New Roman"/>
              <w:i/>
            </w:rPr>
            <w:t xml:space="preserve">     Noelle W. Newman</w:t>
          </w:r>
        </w:p>
        <w:p w14:paraId="48E19FD9" w14:textId="77777777" w:rsidR="00976F20" w:rsidRDefault="003E1F46">
          <w:pPr>
            <w:pStyle w:val="Header"/>
            <w:rPr>
              <w:rFonts w:ascii="Times New Roman" w:eastAsia="Times New Roman" w:hAnsi="Times New Roman" w:cs="Times New Roman"/>
              <w:i/>
            </w:rPr>
          </w:pPr>
          <w:r>
            <w:rPr>
              <w:rFonts w:ascii="Times New Roman" w:eastAsia="Times New Roman" w:hAnsi="Times New Roman" w:cs="Times New Roman"/>
              <w:i/>
            </w:rPr>
            <w:t xml:space="preserve">     Vacant</w:t>
          </w:r>
        </w:p>
        <w:p w14:paraId="12BE286B" w14:textId="77777777" w:rsidR="00976F20" w:rsidRDefault="00976F20">
          <w:pPr>
            <w:rPr>
              <w:rFonts w:ascii="Times New Roman" w:hAnsi="Times New Roman" w:cs="Times New Roman"/>
              <w:smallCaps/>
              <w:color w:val="BF8F00" w:themeColor="accent4" w:themeShade="BF"/>
              <w:sz w:val="18"/>
            </w:rPr>
          </w:pPr>
        </w:p>
      </w:tc>
      <w:tc>
        <w:tcPr>
          <w:tcW w:w="7126" w:type="dxa"/>
          <w:shd w:val="clear" w:color="auto" w:fill="auto"/>
          <w:vAlign w:val="center"/>
        </w:tcPr>
        <w:p w14:paraId="24214985" w14:textId="77777777" w:rsidR="00976F20" w:rsidRDefault="003E1F46">
          <w:pPr>
            <w:rPr>
              <w:rFonts w:ascii="Times New Roman" w:hAnsi="Times New Roman" w:cs="Times New Roman"/>
              <w:i/>
            </w:rPr>
          </w:pPr>
          <w:r>
            <w:rPr>
              <w:rFonts w:ascii="Times New Roman" w:hAnsi="Times New Roman" w:cs="Times New Roman"/>
              <w:i/>
              <w:noProof/>
            </w:rPr>
            <w:drawing>
              <wp:anchor distT="0" distB="0" distL="114300" distR="114300" simplePos="0" relativeHeight="251659264" behindDoc="1" locked="0" layoutInCell="1" allowOverlap="1" wp14:anchorId="72870E96" wp14:editId="42479497">
                <wp:simplePos x="0" y="0"/>
                <wp:positionH relativeFrom="column">
                  <wp:posOffset>-1343025</wp:posOffset>
                </wp:positionH>
                <wp:positionV relativeFrom="paragraph">
                  <wp:posOffset>59055</wp:posOffset>
                </wp:positionV>
                <wp:extent cx="1257300" cy="1188720"/>
                <wp:effectExtent l="0" t="0" r="0" b="0"/>
                <wp:wrapTight wrapText="bothSides">
                  <wp:wrapPolygon edited="0">
                    <wp:start x="0" y="0"/>
                    <wp:lineTo x="0" y="21115"/>
                    <wp:lineTo x="21273" y="21115"/>
                    <wp:lineTo x="21273" y="0"/>
                    <wp:lineTo x="0" y="0"/>
                  </wp:wrapPolygon>
                </wp:wrapTight>
                <wp:docPr id="1506015384" name="Picture 150601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rPr>
            <w:t xml:space="preserve">         </w:t>
          </w:r>
        </w:p>
        <w:p w14:paraId="2C0E3315" w14:textId="77777777" w:rsidR="00976F20" w:rsidRDefault="003E1F46">
          <w:pPr>
            <w:rPr>
              <w:rFonts w:ascii="Times New Roman" w:hAnsi="Times New Roman" w:cs="Times New Roman"/>
              <w:i/>
            </w:rPr>
          </w:pPr>
          <w:r>
            <w:rPr>
              <w:rFonts w:ascii="Times New Roman" w:hAnsi="Times New Roman" w:cs="Times New Roman"/>
              <w:i/>
            </w:rPr>
            <w:t xml:space="preserve">     </w:t>
          </w:r>
        </w:p>
        <w:p w14:paraId="37CA7636" w14:textId="5AE841E6" w:rsidR="00976F20" w:rsidRDefault="00976F20">
          <w:pPr>
            <w:rPr>
              <w:rFonts w:ascii="Times New Roman" w:hAnsi="Times New Roman" w:cs="Times New Roman"/>
              <w:i/>
            </w:rPr>
          </w:pPr>
        </w:p>
        <w:p w14:paraId="1B350327" w14:textId="77777777" w:rsidR="005840F6" w:rsidRDefault="005840F6">
          <w:pPr>
            <w:rPr>
              <w:rFonts w:ascii="Times New Roman" w:hAnsi="Times New Roman" w:cs="Times New Roman"/>
              <w:i/>
            </w:rPr>
          </w:pPr>
        </w:p>
        <w:p w14:paraId="6D25B754" w14:textId="77777777" w:rsidR="00976F20" w:rsidRDefault="003E1F46">
          <w:pPr>
            <w:rPr>
              <w:rFonts w:ascii="Times New Roman" w:hAnsi="Times New Roman" w:cs="Times New Roman"/>
              <w:i/>
            </w:rPr>
          </w:pPr>
          <w:r>
            <w:rPr>
              <w:rFonts w:ascii="Times New Roman" w:hAnsi="Times New Roman" w:cs="Times New Roman"/>
              <w:i/>
            </w:rPr>
            <w:t xml:space="preserve">         Director: J. Christoph Amberger </w:t>
          </w:r>
        </w:p>
      </w:tc>
    </w:tr>
    <w:tr w:rsidR="00976F20" w14:paraId="3D7BDB67" w14:textId="77777777">
      <w:trPr>
        <w:trHeight w:val="80"/>
        <w:jc w:val="center"/>
      </w:trPr>
      <w:tc>
        <w:tcPr>
          <w:tcW w:w="12256" w:type="dxa"/>
          <w:gridSpan w:val="2"/>
        </w:tcPr>
        <w:p w14:paraId="4F679FF1" w14:textId="77777777" w:rsidR="00976F20" w:rsidRDefault="003E1F46">
          <w:pPr>
            <w:jc w:val="center"/>
            <w:rPr>
              <w:rFonts w:ascii="Times New Roman" w:hAnsi="Times New Roman" w:cs="Times New Roman"/>
              <w:b/>
              <w:smallCaps/>
              <w:noProof/>
            </w:rPr>
          </w:pPr>
          <w:r>
            <w:rPr>
              <w:rFonts w:ascii="Times New Roman" w:hAnsi="Times New Roman" w:cs="Times New Roman"/>
              <w:b/>
              <w:smallCaps/>
              <w:noProof/>
            </w:rPr>
            <w:t>Baltimore City Board of Ethics</w:t>
          </w:r>
        </w:p>
        <w:p w14:paraId="556FCF98" w14:textId="77777777" w:rsidR="00976F20" w:rsidRDefault="00976F20">
          <w:pPr>
            <w:jc w:val="center"/>
            <w:rPr>
              <w:rFonts w:ascii="Times New Roman" w:hAnsi="Times New Roman" w:cs="Times New Roman"/>
              <w:b/>
              <w:smallCaps/>
              <w:noProof/>
              <w:sz w:val="8"/>
              <w:szCs w:val="8"/>
            </w:rPr>
          </w:pPr>
        </w:p>
      </w:tc>
    </w:tr>
  </w:tbl>
  <w:p w14:paraId="539CC872" w14:textId="77777777" w:rsidR="00976F20" w:rsidRDefault="00976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581"/>
    <w:multiLevelType w:val="hybridMultilevel"/>
    <w:tmpl w:val="0E703318"/>
    <w:lvl w:ilvl="0" w:tplc="DB447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1E6938"/>
    <w:multiLevelType w:val="hybridMultilevel"/>
    <w:tmpl w:val="BE520964"/>
    <w:lvl w:ilvl="0" w:tplc="57C0D958">
      <w:start w:val="1"/>
      <w:numFmt w:val="lowerRoman"/>
      <w:lvlText w:val="(%1)"/>
      <w:lvlJc w:val="left"/>
      <w:pPr>
        <w:ind w:left="1404" w:hanging="504"/>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12241366"/>
    <w:multiLevelType w:val="hybridMultilevel"/>
    <w:tmpl w:val="B9BE1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118F6"/>
    <w:multiLevelType w:val="hybridMultilevel"/>
    <w:tmpl w:val="1F7C4C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98D3FC0"/>
    <w:multiLevelType w:val="hybridMultilevel"/>
    <w:tmpl w:val="04FEE70C"/>
    <w:lvl w:ilvl="0" w:tplc="5D609F18">
      <w:start w:val="1"/>
      <w:numFmt w:val="decimal"/>
      <w:lvlText w:val="(%1)"/>
      <w:lvlJc w:val="left"/>
      <w:pPr>
        <w:ind w:left="10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D4A0F18">
      <w:start w:val="1"/>
      <w:numFmt w:val="lowerRoman"/>
      <w:lvlText w:val="(%2)"/>
      <w:lvlJc w:val="left"/>
      <w:pPr>
        <w:ind w:left="7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0581D06">
      <w:start w:val="1"/>
      <w:numFmt w:val="lowerRoman"/>
      <w:lvlText w:val="%3"/>
      <w:lvlJc w:val="left"/>
      <w:pPr>
        <w:ind w:left="25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DAACDB2">
      <w:start w:val="1"/>
      <w:numFmt w:val="decimal"/>
      <w:lvlText w:val="%4"/>
      <w:lvlJc w:val="left"/>
      <w:pPr>
        <w:ind w:left="32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10CD92A">
      <w:start w:val="1"/>
      <w:numFmt w:val="lowerLetter"/>
      <w:lvlText w:val="%5"/>
      <w:lvlJc w:val="left"/>
      <w:pPr>
        <w:ind w:left="39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0A69192">
      <w:start w:val="1"/>
      <w:numFmt w:val="lowerRoman"/>
      <w:lvlText w:val="%6"/>
      <w:lvlJc w:val="left"/>
      <w:pPr>
        <w:ind w:left="46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9A03706">
      <w:start w:val="1"/>
      <w:numFmt w:val="decimal"/>
      <w:lvlText w:val="%7"/>
      <w:lvlJc w:val="left"/>
      <w:pPr>
        <w:ind w:left="54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15A76F8">
      <w:start w:val="1"/>
      <w:numFmt w:val="lowerLetter"/>
      <w:lvlText w:val="%8"/>
      <w:lvlJc w:val="left"/>
      <w:pPr>
        <w:ind w:left="61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76EC502">
      <w:start w:val="1"/>
      <w:numFmt w:val="lowerRoman"/>
      <w:lvlText w:val="%9"/>
      <w:lvlJc w:val="left"/>
      <w:pPr>
        <w:ind w:left="68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2B396637"/>
    <w:multiLevelType w:val="hybridMultilevel"/>
    <w:tmpl w:val="D0F4AF9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E0F2091"/>
    <w:multiLevelType w:val="hybridMultilevel"/>
    <w:tmpl w:val="BF2A42DA"/>
    <w:lvl w:ilvl="0" w:tplc="7C924D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D5DEE"/>
    <w:multiLevelType w:val="hybridMultilevel"/>
    <w:tmpl w:val="13FE520C"/>
    <w:lvl w:ilvl="0" w:tplc="190421E8">
      <w:start w:val="1"/>
      <w:numFmt w:val="decimal"/>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FD4964"/>
    <w:multiLevelType w:val="hybridMultilevel"/>
    <w:tmpl w:val="C924077A"/>
    <w:lvl w:ilvl="0" w:tplc="BA74949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337079"/>
    <w:multiLevelType w:val="hybridMultilevel"/>
    <w:tmpl w:val="8656064C"/>
    <w:lvl w:ilvl="0" w:tplc="63029D06">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4606B"/>
    <w:multiLevelType w:val="hybridMultilevel"/>
    <w:tmpl w:val="FA74C762"/>
    <w:lvl w:ilvl="0" w:tplc="4A2E3CA6">
      <w:start w:val="1"/>
      <w:numFmt w:val="decimal"/>
      <w:lvlText w:val="%1."/>
      <w:lvlJc w:val="left"/>
      <w:pPr>
        <w:ind w:left="720" w:hanging="360"/>
      </w:pPr>
      <w:rPr>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C824E46"/>
    <w:multiLevelType w:val="hybridMultilevel"/>
    <w:tmpl w:val="2F24C7CA"/>
    <w:lvl w:ilvl="0" w:tplc="FD9CFEA8">
      <w:start w:val="1"/>
      <w:numFmt w:val="decimal"/>
      <w:lvlText w:val="(%1)"/>
      <w:lvlJc w:val="left"/>
      <w:pPr>
        <w:ind w:left="954" w:hanging="504"/>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4CD675BB"/>
    <w:multiLevelType w:val="hybridMultilevel"/>
    <w:tmpl w:val="24009A1C"/>
    <w:lvl w:ilvl="0" w:tplc="7956567C">
      <w:start w:val="1"/>
      <w:numFmt w:val="lowerLetter"/>
      <w:lvlText w:val="(%1)"/>
      <w:lvlJc w:val="left"/>
      <w:pPr>
        <w:ind w:left="1044" w:hanging="504"/>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3" w15:restartNumberingAfterBreak="0">
    <w:nsid w:val="52596D03"/>
    <w:multiLevelType w:val="hybridMultilevel"/>
    <w:tmpl w:val="B8DEC4A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FB1A5C"/>
    <w:multiLevelType w:val="hybridMultilevel"/>
    <w:tmpl w:val="C5C83CB6"/>
    <w:lvl w:ilvl="0" w:tplc="7FEACE5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5CCF3ED8"/>
    <w:multiLevelType w:val="hybridMultilevel"/>
    <w:tmpl w:val="0F405F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3E0CE0"/>
    <w:multiLevelType w:val="hybridMultilevel"/>
    <w:tmpl w:val="5636EF74"/>
    <w:lvl w:ilvl="0" w:tplc="0B727D32">
      <w:start w:val="3"/>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05618C4"/>
    <w:multiLevelType w:val="hybridMultilevel"/>
    <w:tmpl w:val="BC6614F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68723212"/>
    <w:multiLevelType w:val="hybridMultilevel"/>
    <w:tmpl w:val="08725824"/>
    <w:lvl w:ilvl="0" w:tplc="321A980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157B65"/>
    <w:multiLevelType w:val="hybridMultilevel"/>
    <w:tmpl w:val="918AD532"/>
    <w:lvl w:ilvl="0" w:tplc="C89471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601CBA"/>
    <w:multiLevelType w:val="hybridMultilevel"/>
    <w:tmpl w:val="BD68B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4095E0B"/>
    <w:multiLevelType w:val="hybridMultilevel"/>
    <w:tmpl w:val="16A6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D02B73"/>
    <w:multiLevelType w:val="hybridMultilevel"/>
    <w:tmpl w:val="6E1EF236"/>
    <w:lvl w:ilvl="0" w:tplc="4C7EF3AA">
      <w:start w:val="1"/>
      <w:numFmt w:val="decimal"/>
      <w:lvlText w:val="(%1)"/>
      <w:lvlJc w:val="left"/>
      <w:pPr>
        <w:ind w:left="1368" w:hanging="558"/>
      </w:pPr>
      <w:rPr>
        <w:rFonts w:hint="default"/>
      </w:rPr>
    </w:lvl>
    <w:lvl w:ilvl="1" w:tplc="FE7C9AA8">
      <w:start w:val="1"/>
      <w:numFmt w:val="lowerRoman"/>
      <w:lvlText w:val="(%2)"/>
      <w:lvlJc w:val="left"/>
      <w:pPr>
        <w:ind w:left="2034" w:hanging="594"/>
      </w:pPr>
      <w:rPr>
        <w:rFonts w:hint="default"/>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879513247">
    <w:abstractNumId w:val="15"/>
  </w:num>
  <w:num w:numId="2" w16cid:durableId="950280358">
    <w:abstractNumId w:val="11"/>
  </w:num>
  <w:num w:numId="3" w16cid:durableId="1213347589">
    <w:abstractNumId w:val="0"/>
  </w:num>
  <w:num w:numId="4" w16cid:durableId="268122534">
    <w:abstractNumId w:val="1"/>
  </w:num>
  <w:num w:numId="5" w16cid:durableId="140774306">
    <w:abstractNumId w:val="22"/>
  </w:num>
  <w:num w:numId="6" w16cid:durableId="2147239085">
    <w:abstractNumId w:val="12"/>
  </w:num>
  <w:num w:numId="7" w16cid:durableId="760835301">
    <w:abstractNumId w:val="21"/>
  </w:num>
  <w:num w:numId="8" w16cid:durableId="552735135">
    <w:abstractNumId w:val="17"/>
  </w:num>
  <w:num w:numId="9" w16cid:durableId="16749887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2861764">
    <w:abstractNumId w:val="5"/>
  </w:num>
  <w:num w:numId="11" w16cid:durableId="1941228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46570">
    <w:abstractNumId w:val="2"/>
  </w:num>
  <w:num w:numId="13" w16cid:durableId="1740060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4943210">
    <w:abstractNumId w:val="16"/>
  </w:num>
  <w:num w:numId="15" w16cid:durableId="215893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30328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2745108">
    <w:abstractNumId w:val="13"/>
  </w:num>
  <w:num w:numId="18" w16cid:durableId="763956011">
    <w:abstractNumId w:val="18"/>
  </w:num>
  <w:num w:numId="19" w16cid:durableId="922104976">
    <w:abstractNumId w:val="6"/>
  </w:num>
  <w:num w:numId="20" w16cid:durableId="1032536078">
    <w:abstractNumId w:val="7"/>
  </w:num>
  <w:num w:numId="21" w16cid:durableId="1611468535">
    <w:abstractNumId w:val="8"/>
  </w:num>
  <w:num w:numId="22" w16cid:durableId="601106683">
    <w:abstractNumId w:val="19"/>
  </w:num>
  <w:num w:numId="23" w16cid:durableId="6445495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20"/>
    <w:rsid w:val="00004D8C"/>
    <w:rsid w:val="000126C0"/>
    <w:rsid w:val="00013768"/>
    <w:rsid w:val="000209C3"/>
    <w:rsid w:val="000218D3"/>
    <w:rsid w:val="00021E29"/>
    <w:rsid w:val="00026145"/>
    <w:rsid w:val="00035534"/>
    <w:rsid w:val="00045C37"/>
    <w:rsid w:val="00046D7A"/>
    <w:rsid w:val="00047EAA"/>
    <w:rsid w:val="00060249"/>
    <w:rsid w:val="00064AA9"/>
    <w:rsid w:val="00077332"/>
    <w:rsid w:val="00087E1B"/>
    <w:rsid w:val="000B205F"/>
    <w:rsid w:val="000B4481"/>
    <w:rsid w:val="000C036A"/>
    <w:rsid w:val="000E1E40"/>
    <w:rsid w:val="00135C3F"/>
    <w:rsid w:val="001542A2"/>
    <w:rsid w:val="0015461B"/>
    <w:rsid w:val="00154A9D"/>
    <w:rsid w:val="001842A5"/>
    <w:rsid w:val="001C01D9"/>
    <w:rsid w:val="001D3CA0"/>
    <w:rsid w:val="001E6FF6"/>
    <w:rsid w:val="001E7BAB"/>
    <w:rsid w:val="001F49F8"/>
    <w:rsid w:val="00204072"/>
    <w:rsid w:val="00204901"/>
    <w:rsid w:val="0022213C"/>
    <w:rsid w:val="00247B5A"/>
    <w:rsid w:val="00252A52"/>
    <w:rsid w:val="00255AA0"/>
    <w:rsid w:val="0027225D"/>
    <w:rsid w:val="002B1C91"/>
    <w:rsid w:val="002B7F40"/>
    <w:rsid w:val="002B7FF5"/>
    <w:rsid w:val="002E18FC"/>
    <w:rsid w:val="002E535E"/>
    <w:rsid w:val="00301BB6"/>
    <w:rsid w:val="003020C1"/>
    <w:rsid w:val="0030455D"/>
    <w:rsid w:val="003237C2"/>
    <w:rsid w:val="00331149"/>
    <w:rsid w:val="00354160"/>
    <w:rsid w:val="00355259"/>
    <w:rsid w:val="00372C39"/>
    <w:rsid w:val="003835A5"/>
    <w:rsid w:val="00384DEE"/>
    <w:rsid w:val="003B1D67"/>
    <w:rsid w:val="003C08AB"/>
    <w:rsid w:val="003C7283"/>
    <w:rsid w:val="003D4B9A"/>
    <w:rsid w:val="003D659C"/>
    <w:rsid w:val="003E1F46"/>
    <w:rsid w:val="003F302E"/>
    <w:rsid w:val="00403288"/>
    <w:rsid w:val="00422710"/>
    <w:rsid w:val="00427A66"/>
    <w:rsid w:val="00444F3C"/>
    <w:rsid w:val="0046215B"/>
    <w:rsid w:val="004676EC"/>
    <w:rsid w:val="00493D6F"/>
    <w:rsid w:val="004B0D34"/>
    <w:rsid w:val="004E6D22"/>
    <w:rsid w:val="004F2649"/>
    <w:rsid w:val="00502D57"/>
    <w:rsid w:val="00511492"/>
    <w:rsid w:val="00516461"/>
    <w:rsid w:val="0052103A"/>
    <w:rsid w:val="005776F7"/>
    <w:rsid w:val="005840F6"/>
    <w:rsid w:val="005852FC"/>
    <w:rsid w:val="005B04F5"/>
    <w:rsid w:val="005D5E7C"/>
    <w:rsid w:val="005E4CC9"/>
    <w:rsid w:val="005F134D"/>
    <w:rsid w:val="00614B85"/>
    <w:rsid w:val="00621C6B"/>
    <w:rsid w:val="00647AB0"/>
    <w:rsid w:val="00651E1D"/>
    <w:rsid w:val="00663935"/>
    <w:rsid w:val="006731A4"/>
    <w:rsid w:val="006A69CF"/>
    <w:rsid w:val="006B1D51"/>
    <w:rsid w:val="006E6D18"/>
    <w:rsid w:val="006F7D53"/>
    <w:rsid w:val="007043E0"/>
    <w:rsid w:val="00710284"/>
    <w:rsid w:val="007465FA"/>
    <w:rsid w:val="007537C7"/>
    <w:rsid w:val="00776311"/>
    <w:rsid w:val="007B01E7"/>
    <w:rsid w:val="007B1364"/>
    <w:rsid w:val="007B1F18"/>
    <w:rsid w:val="007C221E"/>
    <w:rsid w:val="007D0960"/>
    <w:rsid w:val="007D4214"/>
    <w:rsid w:val="007D5C25"/>
    <w:rsid w:val="00854EA8"/>
    <w:rsid w:val="00873F45"/>
    <w:rsid w:val="00880187"/>
    <w:rsid w:val="0088620E"/>
    <w:rsid w:val="008921C9"/>
    <w:rsid w:val="00894838"/>
    <w:rsid w:val="008A2E86"/>
    <w:rsid w:val="008A6C93"/>
    <w:rsid w:val="008C38B1"/>
    <w:rsid w:val="008D1271"/>
    <w:rsid w:val="008D69AC"/>
    <w:rsid w:val="008F591E"/>
    <w:rsid w:val="008F7CCB"/>
    <w:rsid w:val="00901CD3"/>
    <w:rsid w:val="00906690"/>
    <w:rsid w:val="009116AB"/>
    <w:rsid w:val="00976F20"/>
    <w:rsid w:val="009905DE"/>
    <w:rsid w:val="009962A9"/>
    <w:rsid w:val="009A0179"/>
    <w:rsid w:val="009A20DE"/>
    <w:rsid w:val="009B6488"/>
    <w:rsid w:val="009C1F66"/>
    <w:rsid w:val="009C4993"/>
    <w:rsid w:val="009C7251"/>
    <w:rsid w:val="009E2BB4"/>
    <w:rsid w:val="009E57AE"/>
    <w:rsid w:val="009F2905"/>
    <w:rsid w:val="00A02D4B"/>
    <w:rsid w:val="00A039CC"/>
    <w:rsid w:val="00A20D9A"/>
    <w:rsid w:val="00A21BEF"/>
    <w:rsid w:val="00A21C69"/>
    <w:rsid w:val="00A349B9"/>
    <w:rsid w:val="00A536C6"/>
    <w:rsid w:val="00A63FFF"/>
    <w:rsid w:val="00A67A4E"/>
    <w:rsid w:val="00A70B9C"/>
    <w:rsid w:val="00A72996"/>
    <w:rsid w:val="00A73B76"/>
    <w:rsid w:val="00A80502"/>
    <w:rsid w:val="00A81B9D"/>
    <w:rsid w:val="00A94812"/>
    <w:rsid w:val="00AB6734"/>
    <w:rsid w:val="00B15BB7"/>
    <w:rsid w:val="00B470AC"/>
    <w:rsid w:val="00B50AB7"/>
    <w:rsid w:val="00B92647"/>
    <w:rsid w:val="00BA6CF6"/>
    <w:rsid w:val="00BB40E3"/>
    <w:rsid w:val="00BC5488"/>
    <w:rsid w:val="00BC63CB"/>
    <w:rsid w:val="00BE14A8"/>
    <w:rsid w:val="00BE6D8F"/>
    <w:rsid w:val="00C141C8"/>
    <w:rsid w:val="00C74097"/>
    <w:rsid w:val="00C779BB"/>
    <w:rsid w:val="00C90C5B"/>
    <w:rsid w:val="00CE4516"/>
    <w:rsid w:val="00CF1477"/>
    <w:rsid w:val="00CF451A"/>
    <w:rsid w:val="00D0121E"/>
    <w:rsid w:val="00D03572"/>
    <w:rsid w:val="00D24CCE"/>
    <w:rsid w:val="00D30A85"/>
    <w:rsid w:val="00D40BF2"/>
    <w:rsid w:val="00D42358"/>
    <w:rsid w:val="00DB1185"/>
    <w:rsid w:val="00DB34D3"/>
    <w:rsid w:val="00E006A3"/>
    <w:rsid w:val="00E074D2"/>
    <w:rsid w:val="00E15CFF"/>
    <w:rsid w:val="00E31D4D"/>
    <w:rsid w:val="00E71FDF"/>
    <w:rsid w:val="00E74FD6"/>
    <w:rsid w:val="00E930B6"/>
    <w:rsid w:val="00E9426E"/>
    <w:rsid w:val="00EC074A"/>
    <w:rsid w:val="00F0755B"/>
    <w:rsid w:val="00F345C4"/>
    <w:rsid w:val="00F47635"/>
    <w:rsid w:val="00F54116"/>
    <w:rsid w:val="00F60BFD"/>
    <w:rsid w:val="00F7092C"/>
    <w:rsid w:val="00F94D8D"/>
    <w:rsid w:val="00FA5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F12A"/>
  <w15:chartTrackingRefBased/>
  <w15:docId w15:val="{4E3569EE-22EF-44A4-BA04-AA55E13B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EndnoteText">
    <w:name w:val="endnote text"/>
    <w:basedOn w:val="Normal"/>
    <w:link w:val="EndnoteTextChar"/>
    <w:uiPriority w:val="99"/>
    <w:semiHidden/>
    <w:unhideWhenUsed/>
    <w:rsid w:val="004B0D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0D34"/>
    <w:rPr>
      <w:sz w:val="20"/>
      <w:szCs w:val="20"/>
    </w:rPr>
  </w:style>
  <w:style w:type="character" w:styleId="EndnoteReference">
    <w:name w:val="endnote reference"/>
    <w:basedOn w:val="DefaultParagraphFont"/>
    <w:uiPriority w:val="99"/>
    <w:semiHidden/>
    <w:unhideWhenUsed/>
    <w:rsid w:val="004B0D34"/>
    <w:rPr>
      <w:vertAlign w:val="superscript"/>
    </w:rPr>
  </w:style>
  <w:style w:type="paragraph" w:styleId="Revision">
    <w:name w:val="Revision"/>
    <w:hidden/>
    <w:uiPriority w:val="99"/>
    <w:semiHidden/>
    <w:rsid w:val="003237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7172">
      <w:bodyDiv w:val="1"/>
      <w:marLeft w:val="0"/>
      <w:marRight w:val="0"/>
      <w:marTop w:val="0"/>
      <w:marBottom w:val="0"/>
      <w:divBdr>
        <w:top w:val="none" w:sz="0" w:space="0" w:color="auto"/>
        <w:left w:val="none" w:sz="0" w:space="0" w:color="auto"/>
        <w:bottom w:val="none" w:sz="0" w:space="0" w:color="auto"/>
        <w:right w:val="none" w:sz="0" w:space="0" w:color="auto"/>
      </w:divBdr>
    </w:div>
    <w:div w:id="684524075">
      <w:bodyDiv w:val="1"/>
      <w:marLeft w:val="0"/>
      <w:marRight w:val="0"/>
      <w:marTop w:val="0"/>
      <w:marBottom w:val="0"/>
      <w:divBdr>
        <w:top w:val="none" w:sz="0" w:space="0" w:color="auto"/>
        <w:left w:val="none" w:sz="0" w:space="0" w:color="auto"/>
        <w:bottom w:val="none" w:sz="0" w:space="0" w:color="auto"/>
        <w:right w:val="none" w:sz="0" w:space="0" w:color="auto"/>
      </w:divBdr>
    </w:div>
    <w:div w:id="687213788">
      <w:bodyDiv w:val="1"/>
      <w:marLeft w:val="0"/>
      <w:marRight w:val="0"/>
      <w:marTop w:val="0"/>
      <w:marBottom w:val="0"/>
      <w:divBdr>
        <w:top w:val="none" w:sz="0" w:space="0" w:color="auto"/>
        <w:left w:val="none" w:sz="0" w:space="0" w:color="auto"/>
        <w:bottom w:val="none" w:sz="0" w:space="0" w:color="auto"/>
        <w:right w:val="none" w:sz="0" w:space="0" w:color="auto"/>
      </w:divBdr>
    </w:div>
    <w:div w:id="691491633">
      <w:bodyDiv w:val="1"/>
      <w:marLeft w:val="0"/>
      <w:marRight w:val="0"/>
      <w:marTop w:val="0"/>
      <w:marBottom w:val="0"/>
      <w:divBdr>
        <w:top w:val="none" w:sz="0" w:space="0" w:color="auto"/>
        <w:left w:val="none" w:sz="0" w:space="0" w:color="auto"/>
        <w:bottom w:val="none" w:sz="0" w:space="0" w:color="auto"/>
        <w:right w:val="none" w:sz="0" w:space="0" w:color="auto"/>
      </w:divBdr>
    </w:div>
    <w:div w:id="773020609">
      <w:bodyDiv w:val="1"/>
      <w:marLeft w:val="0"/>
      <w:marRight w:val="0"/>
      <w:marTop w:val="0"/>
      <w:marBottom w:val="0"/>
      <w:divBdr>
        <w:top w:val="none" w:sz="0" w:space="0" w:color="auto"/>
        <w:left w:val="none" w:sz="0" w:space="0" w:color="auto"/>
        <w:bottom w:val="none" w:sz="0" w:space="0" w:color="auto"/>
        <w:right w:val="none" w:sz="0" w:space="0" w:color="auto"/>
      </w:divBdr>
    </w:div>
    <w:div w:id="910703010">
      <w:bodyDiv w:val="1"/>
      <w:marLeft w:val="0"/>
      <w:marRight w:val="0"/>
      <w:marTop w:val="0"/>
      <w:marBottom w:val="0"/>
      <w:divBdr>
        <w:top w:val="none" w:sz="0" w:space="0" w:color="auto"/>
        <w:left w:val="none" w:sz="0" w:space="0" w:color="auto"/>
        <w:bottom w:val="none" w:sz="0" w:space="0" w:color="auto"/>
        <w:right w:val="none" w:sz="0" w:space="0" w:color="auto"/>
      </w:divBdr>
    </w:div>
    <w:div w:id="917905246">
      <w:bodyDiv w:val="1"/>
      <w:marLeft w:val="0"/>
      <w:marRight w:val="0"/>
      <w:marTop w:val="0"/>
      <w:marBottom w:val="0"/>
      <w:divBdr>
        <w:top w:val="none" w:sz="0" w:space="0" w:color="auto"/>
        <w:left w:val="none" w:sz="0" w:space="0" w:color="auto"/>
        <w:bottom w:val="none" w:sz="0" w:space="0" w:color="auto"/>
        <w:right w:val="none" w:sz="0" w:space="0" w:color="auto"/>
      </w:divBdr>
    </w:div>
    <w:div w:id="1653218594">
      <w:bodyDiv w:val="1"/>
      <w:marLeft w:val="0"/>
      <w:marRight w:val="0"/>
      <w:marTop w:val="0"/>
      <w:marBottom w:val="0"/>
      <w:divBdr>
        <w:top w:val="none" w:sz="0" w:space="0" w:color="auto"/>
        <w:left w:val="none" w:sz="0" w:space="0" w:color="auto"/>
        <w:bottom w:val="none" w:sz="0" w:space="0" w:color="auto"/>
        <w:right w:val="none" w:sz="0" w:space="0" w:color="auto"/>
      </w:divBdr>
    </w:div>
    <w:div w:id="1789931661">
      <w:bodyDiv w:val="1"/>
      <w:marLeft w:val="0"/>
      <w:marRight w:val="0"/>
      <w:marTop w:val="0"/>
      <w:marBottom w:val="0"/>
      <w:divBdr>
        <w:top w:val="none" w:sz="0" w:space="0" w:color="auto"/>
        <w:left w:val="none" w:sz="0" w:space="0" w:color="auto"/>
        <w:bottom w:val="none" w:sz="0" w:space="0" w:color="auto"/>
        <w:right w:val="none" w:sz="0" w:space="0" w:color="auto"/>
      </w:divBdr>
    </w:div>
    <w:div w:id="1802729553">
      <w:bodyDiv w:val="1"/>
      <w:marLeft w:val="0"/>
      <w:marRight w:val="0"/>
      <w:marTop w:val="0"/>
      <w:marBottom w:val="0"/>
      <w:divBdr>
        <w:top w:val="none" w:sz="0" w:space="0" w:color="auto"/>
        <w:left w:val="none" w:sz="0" w:space="0" w:color="auto"/>
        <w:bottom w:val="none" w:sz="0" w:space="0" w:color="auto"/>
        <w:right w:val="none" w:sz="0" w:space="0" w:color="auto"/>
      </w:divBdr>
    </w:div>
    <w:div w:id="1845316695">
      <w:bodyDiv w:val="1"/>
      <w:marLeft w:val="0"/>
      <w:marRight w:val="0"/>
      <w:marTop w:val="0"/>
      <w:marBottom w:val="0"/>
      <w:divBdr>
        <w:top w:val="none" w:sz="0" w:space="0" w:color="auto"/>
        <w:left w:val="none" w:sz="0" w:space="0" w:color="auto"/>
        <w:bottom w:val="none" w:sz="0" w:space="0" w:color="auto"/>
        <w:right w:val="none" w:sz="0" w:space="0" w:color="auto"/>
      </w:divBdr>
    </w:div>
    <w:div w:id="1870606372">
      <w:bodyDiv w:val="1"/>
      <w:marLeft w:val="0"/>
      <w:marRight w:val="0"/>
      <w:marTop w:val="0"/>
      <w:marBottom w:val="0"/>
      <w:divBdr>
        <w:top w:val="none" w:sz="0" w:space="0" w:color="auto"/>
        <w:left w:val="none" w:sz="0" w:space="0" w:color="auto"/>
        <w:bottom w:val="none" w:sz="0" w:space="0" w:color="auto"/>
        <w:right w:val="none" w:sz="0" w:space="0" w:color="auto"/>
      </w:divBdr>
    </w:div>
    <w:div w:id="1914654596">
      <w:bodyDiv w:val="1"/>
      <w:marLeft w:val="0"/>
      <w:marRight w:val="0"/>
      <w:marTop w:val="0"/>
      <w:marBottom w:val="0"/>
      <w:divBdr>
        <w:top w:val="none" w:sz="0" w:space="0" w:color="auto"/>
        <w:left w:val="none" w:sz="0" w:space="0" w:color="auto"/>
        <w:bottom w:val="none" w:sz="0" w:space="0" w:color="auto"/>
        <w:right w:val="none" w:sz="0" w:space="0" w:color="auto"/>
      </w:divBdr>
    </w:div>
    <w:div w:id="1943561744">
      <w:bodyDiv w:val="1"/>
      <w:marLeft w:val="0"/>
      <w:marRight w:val="0"/>
      <w:marTop w:val="0"/>
      <w:marBottom w:val="0"/>
      <w:divBdr>
        <w:top w:val="none" w:sz="0" w:space="0" w:color="auto"/>
        <w:left w:val="none" w:sz="0" w:space="0" w:color="auto"/>
        <w:bottom w:val="none" w:sz="0" w:space="0" w:color="auto"/>
        <w:right w:val="none" w:sz="0" w:space="0" w:color="auto"/>
      </w:divBdr>
    </w:div>
    <w:div w:id="1944920897">
      <w:bodyDiv w:val="1"/>
      <w:marLeft w:val="0"/>
      <w:marRight w:val="0"/>
      <w:marTop w:val="0"/>
      <w:marBottom w:val="0"/>
      <w:divBdr>
        <w:top w:val="none" w:sz="0" w:space="0" w:color="auto"/>
        <w:left w:val="none" w:sz="0" w:space="0" w:color="auto"/>
        <w:bottom w:val="none" w:sz="0" w:space="0" w:color="auto"/>
        <w:right w:val="none" w:sz="0" w:space="0" w:color="auto"/>
      </w:divBdr>
    </w:div>
    <w:div w:id="2049259650">
      <w:bodyDiv w:val="1"/>
      <w:marLeft w:val="0"/>
      <w:marRight w:val="0"/>
      <w:marTop w:val="0"/>
      <w:marBottom w:val="0"/>
      <w:divBdr>
        <w:top w:val="none" w:sz="0" w:space="0" w:color="auto"/>
        <w:left w:val="none" w:sz="0" w:space="0" w:color="auto"/>
        <w:bottom w:val="none" w:sz="0" w:space="0" w:color="auto"/>
        <w:right w:val="none" w:sz="0" w:space="0" w:color="auto"/>
      </w:divBdr>
    </w:div>
    <w:div w:id="210556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ethics.baltimorecity.gov" TargetMode="External"/><Relationship Id="rId1" Type="http://schemas.openxmlformats.org/officeDocument/2006/relationships/hyperlink" Target="mailto:ethics@baltimorecity.gov"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thics.baltimorecity.gov" TargetMode="External"/><Relationship Id="rId1" Type="http://schemas.openxmlformats.org/officeDocument/2006/relationships/hyperlink" Target="mailto:ethics@baltimorecity.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owardcountymd.gov/sites/default/files/2022-02/Opinion%202021-04.pdf" TargetMode="External"/><Relationship Id="rId2" Type="http://schemas.openxmlformats.org/officeDocument/2006/relationships/hyperlink" Target="https://legislativereference.baltimorecity.gov/sites/default/files/Art%2005%20-%20Finance_(rev%2004-26-22).pdf" TargetMode="External"/><Relationship Id="rId1" Type="http://schemas.openxmlformats.org/officeDocument/2006/relationships/hyperlink" Target="https://legislativereference.baltimorecity.gov/sites/default/files/01%20-%20Charter%20(rev%2008DEC2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8527ddd-f8f9-44de-bfe4-62bcfe4353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6DD8ECDC2DB44BA89425B2E9BEF860" ma:contentTypeVersion="13" ma:contentTypeDescription="Create a new document." ma:contentTypeScope="" ma:versionID="ea2d89610b575294750a79d9df67b69f">
  <xsd:schema xmlns:xsd="http://www.w3.org/2001/XMLSchema" xmlns:xs="http://www.w3.org/2001/XMLSchema" xmlns:p="http://schemas.microsoft.com/office/2006/metadata/properties" xmlns:ns3="f8527ddd-f8f9-44de-bfe4-62bcfe43536d" xmlns:ns4="130032d7-89f3-4ccd-a678-8c9df3838243" targetNamespace="http://schemas.microsoft.com/office/2006/metadata/properties" ma:root="true" ma:fieldsID="2eaa0c0249afee6709e1274154d5fe44" ns3:_="" ns4:_="">
    <xsd:import namespace="f8527ddd-f8f9-44de-bfe4-62bcfe43536d"/>
    <xsd:import namespace="130032d7-89f3-4ccd-a678-8c9df38382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27ddd-f8f9-44de-bfe4-62bcfe435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0032d7-89f3-4ccd-a678-8c9df38382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62633-F834-4C58-95D9-1B76DEFA3BE0}">
  <ds:schemaRefs>
    <ds:schemaRef ds:uri="http://schemas.microsoft.com/office/2006/metadata/properties"/>
    <ds:schemaRef ds:uri="http://schemas.microsoft.com/office/infopath/2007/PartnerControls"/>
    <ds:schemaRef ds:uri="f8527ddd-f8f9-44de-bfe4-62bcfe43536d"/>
  </ds:schemaRefs>
</ds:datastoreItem>
</file>

<file path=customXml/itemProps2.xml><?xml version="1.0" encoding="utf-8"?>
<ds:datastoreItem xmlns:ds="http://schemas.openxmlformats.org/officeDocument/2006/customXml" ds:itemID="{354DBCBA-0AFF-46E1-8581-8ECD7D181ED4}">
  <ds:schemaRefs>
    <ds:schemaRef ds:uri="http://schemas.openxmlformats.org/officeDocument/2006/bibliography"/>
  </ds:schemaRefs>
</ds:datastoreItem>
</file>

<file path=customXml/itemProps3.xml><?xml version="1.0" encoding="utf-8"?>
<ds:datastoreItem xmlns:ds="http://schemas.openxmlformats.org/officeDocument/2006/customXml" ds:itemID="{5FF0657F-BAAA-4B3A-B7F7-B7661C650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27ddd-f8f9-44de-bfe4-62bcfe43536d"/>
    <ds:schemaRef ds:uri="130032d7-89f3-4ccd-a678-8c9df3838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87975-82F8-40F5-A14E-B7CA54F0F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City Of Baltimore</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Amberger, Johann C. (Ethics)</dc:creator>
  <cp:keywords/>
  <dc:description/>
  <cp:lastModifiedBy>Bond, Nayshonn (Ethics)</cp:lastModifiedBy>
  <cp:revision>34</cp:revision>
  <dcterms:created xsi:type="dcterms:W3CDTF">2024-03-07T18:18:00Z</dcterms:created>
  <dcterms:modified xsi:type="dcterms:W3CDTF">2024-03-27T12:16:00Z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0x010100596DD8ECDC2DB44BA89425B2E9BEF860</vt:lpwstr>
  </property>
</Properties>
</file>